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6FA19" w14:textId="500F0488" w:rsidR="00EE45CA" w:rsidRPr="00573AF0" w:rsidRDefault="00EE45CA" w:rsidP="008E4B08">
      <w:pPr>
        <w:pStyle w:val="xxmsonormal"/>
        <w:rPr>
          <w:rFonts w:asciiTheme="minorHAnsi" w:hAnsiTheme="minorHAnsi" w:cstheme="minorHAnsi"/>
          <w:color w:val="212121"/>
          <w:sz w:val="22"/>
          <w:szCs w:val="22"/>
        </w:rPr>
      </w:pPr>
      <w:r w:rsidRPr="00573AF0">
        <w:rPr>
          <w:rFonts w:asciiTheme="minorHAnsi" w:hAnsiTheme="minorHAnsi" w:cstheme="minorHAnsi"/>
          <w:color w:val="212121"/>
          <w:sz w:val="22"/>
          <w:szCs w:val="22"/>
        </w:rPr>
        <w:t>[</w:t>
      </w:r>
      <w:r w:rsidRPr="00573AF0">
        <w:rPr>
          <w:rFonts w:asciiTheme="minorHAnsi" w:hAnsiTheme="minorHAnsi" w:cstheme="minorHAnsi"/>
          <w:color w:val="212121"/>
          <w:sz w:val="22"/>
          <w:szCs w:val="22"/>
          <w:highlight w:val="yellow"/>
        </w:rPr>
        <w:t xml:space="preserve">See the </w:t>
      </w:r>
      <w:hyperlink r:id="rId5" w:history="1">
        <w:r w:rsidRPr="00573AF0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Senate</w:t>
        </w:r>
      </w:hyperlink>
      <w:r w:rsidRPr="00573AF0">
        <w:rPr>
          <w:rFonts w:asciiTheme="minorHAnsi" w:hAnsiTheme="minorHAnsi" w:cstheme="minorHAnsi"/>
          <w:color w:val="212121"/>
          <w:sz w:val="22"/>
          <w:szCs w:val="22"/>
          <w:highlight w:val="yellow"/>
        </w:rPr>
        <w:t xml:space="preserve"> directories for contact information</w:t>
      </w:r>
      <w:r w:rsidRPr="00573AF0">
        <w:rPr>
          <w:rFonts w:asciiTheme="minorHAnsi" w:hAnsiTheme="minorHAnsi" w:cstheme="minorHAnsi"/>
          <w:color w:val="212121"/>
          <w:sz w:val="22"/>
          <w:szCs w:val="22"/>
        </w:rPr>
        <w:t>]</w:t>
      </w:r>
    </w:p>
    <w:p w14:paraId="3CA35B70" w14:textId="77777777" w:rsidR="00EE45CA" w:rsidRPr="00573AF0" w:rsidRDefault="00EE45CA" w:rsidP="008E4B08">
      <w:pPr>
        <w:pStyle w:val="xxmsonormal"/>
        <w:rPr>
          <w:rFonts w:asciiTheme="minorHAnsi" w:hAnsiTheme="minorHAnsi" w:cstheme="minorHAnsi"/>
          <w:color w:val="212121"/>
          <w:sz w:val="22"/>
          <w:szCs w:val="22"/>
        </w:rPr>
      </w:pPr>
    </w:p>
    <w:p w14:paraId="0C257DF0" w14:textId="2868E647" w:rsidR="008E4B08" w:rsidRPr="00573AF0" w:rsidRDefault="008E4B08" w:rsidP="008E4B08">
      <w:pPr>
        <w:pStyle w:val="xxmsonormal"/>
        <w:rPr>
          <w:rFonts w:asciiTheme="minorHAnsi" w:hAnsiTheme="minorHAnsi" w:cstheme="minorHAnsi"/>
          <w:color w:val="000000"/>
          <w:sz w:val="22"/>
          <w:szCs w:val="22"/>
        </w:rPr>
      </w:pPr>
      <w:r w:rsidRPr="00573AF0">
        <w:rPr>
          <w:rFonts w:asciiTheme="minorHAnsi" w:hAnsiTheme="minorHAnsi" w:cstheme="minorHAnsi"/>
          <w:color w:val="212121"/>
          <w:sz w:val="22"/>
          <w:szCs w:val="22"/>
        </w:rPr>
        <w:t xml:space="preserve">Dear </w:t>
      </w:r>
      <w:r w:rsidR="00292E6D" w:rsidRPr="00573AF0">
        <w:rPr>
          <w:rFonts w:asciiTheme="minorHAnsi" w:hAnsiTheme="minorHAnsi" w:cstheme="minorHAnsi"/>
          <w:color w:val="212121"/>
          <w:sz w:val="22"/>
          <w:szCs w:val="22"/>
        </w:rPr>
        <w:t xml:space="preserve">Senator </w:t>
      </w:r>
      <w:r w:rsidRPr="00573AF0">
        <w:rPr>
          <w:rFonts w:asciiTheme="minorHAnsi" w:hAnsiTheme="minorHAnsi" w:cstheme="minorHAnsi"/>
          <w:color w:val="212121"/>
          <w:sz w:val="22"/>
          <w:szCs w:val="22"/>
          <w:shd w:val="clear" w:color="auto" w:fill="FFFF00"/>
        </w:rPr>
        <w:t>[name]</w:t>
      </w:r>
      <w:r w:rsidRPr="00573AF0">
        <w:rPr>
          <w:rFonts w:asciiTheme="minorHAnsi" w:hAnsiTheme="minorHAnsi" w:cstheme="minorHAnsi"/>
          <w:color w:val="212121"/>
          <w:sz w:val="22"/>
          <w:szCs w:val="22"/>
        </w:rPr>
        <w:t>,</w:t>
      </w:r>
    </w:p>
    <w:p w14:paraId="155D1397" w14:textId="77777777" w:rsidR="008E4B08" w:rsidRPr="00573AF0" w:rsidRDefault="008E4B08" w:rsidP="008E4B08">
      <w:pPr>
        <w:pStyle w:val="xxmsonormal"/>
        <w:rPr>
          <w:rFonts w:asciiTheme="minorHAnsi" w:hAnsiTheme="minorHAnsi" w:cstheme="minorHAnsi"/>
          <w:color w:val="000000"/>
          <w:sz w:val="22"/>
          <w:szCs w:val="22"/>
        </w:rPr>
      </w:pPr>
      <w:r w:rsidRPr="00573AF0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C1B1830" w14:textId="7B1C0A72" w:rsidR="00E336A0" w:rsidRPr="00573AF0" w:rsidRDefault="00E336A0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Now that Congress has passed the largest tax reform legislation in 30 years and reaffirmed the Low-Income Housing Tax </w:t>
      </w:r>
      <w:proofErr w:type="spellStart"/>
      <w:r w:rsidRPr="00573AF0">
        <w:rPr>
          <w:rFonts w:asciiTheme="minorHAnsi" w:hAnsiTheme="minorHAnsi" w:cstheme="minorHAnsi"/>
          <w:color w:val="000000"/>
          <w:sz w:val="22"/>
          <w:szCs w:val="22"/>
        </w:rPr>
        <w:t>Credit’s</w:t>
      </w:r>
      <w:proofErr w:type="spellEnd"/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3AF0"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(Housing Credit) </w:t>
      </w: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role in the tax code, I ask that you join Senator Maria Cantwell (D-WA) and Senate Finance Committee Chairman Orrin Hatch (R-UT) as a co-sponsor of the </w:t>
      </w:r>
      <w:hyperlink r:id="rId6" w:history="1">
        <w:r w:rsidRPr="00573AF0">
          <w:rPr>
            <w:rStyle w:val="Hyperlink"/>
            <w:rFonts w:asciiTheme="minorHAnsi" w:hAnsiTheme="minorHAnsi" w:cstheme="minorHAnsi"/>
            <w:sz w:val="22"/>
            <w:szCs w:val="22"/>
          </w:rPr>
          <w:t>Affordable Housing Credit Improvement Act of 2017</w:t>
        </w:r>
      </w:hyperlink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(S. 548), bipartisan legislation that would expand and strengthen the Housing Credit. </w:t>
      </w:r>
    </w:p>
    <w:p w14:paraId="7DC9BD75" w14:textId="3F76300F" w:rsidR="00573AF0" w:rsidRPr="00573AF0" w:rsidRDefault="00573AF0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20B3343E" w14:textId="77777777" w:rsidR="00573AF0" w:rsidRDefault="00573AF0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[state]</w:t>
      </w: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alone, the Housing Credit has been responsible for financing </w:t>
      </w:r>
      <w:r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[##]</w:t>
      </w: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affordable apartments and supporting </w:t>
      </w:r>
      <w:r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[##]</w:t>
      </w: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jobs. [</w:t>
      </w:r>
      <w:hyperlink r:id="rId7" w:history="1">
        <w:r w:rsidRPr="00573AF0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Find state-specific numbers here</w:t>
        </w:r>
      </w:hyperlink>
      <w:r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]</w:t>
      </w: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DBAB69" w14:textId="77777777" w:rsidR="00573AF0" w:rsidRDefault="00573AF0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341E8159" w14:textId="15E7E227" w:rsidR="00573AF0" w:rsidRPr="00573AF0" w:rsidRDefault="00573AF0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[Add your own discussion of the impact of the Housing Credit locally]</w:t>
      </w:r>
    </w:p>
    <w:p w14:paraId="667BD329" w14:textId="77777777" w:rsidR="00E336A0" w:rsidRPr="00573AF0" w:rsidRDefault="00E336A0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AF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DED6225" w14:textId="4A7FC41E" w:rsidR="00E336A0" w:rsidRPr="00573AF0" w:rsidRDefault="00573AF0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hyperlink r:id="rId8" w:history="1">
        <w:r w:rsidR="00E336A0" w:rsidRPr="00573AF0">
          <w:rPr>
            <w:rStyle w:val="Hyperlink"/>
            <w:rFonts w:asciiTheme="minorHAnsi" w:hAnsiTheme="minorHAnsi" w:cstheme="minorHAnsi"/>
            <w:sz w:val="22"/>
            <w:szCs w:val="22"/>
          </w:rPr>
          <w:t>We thank Congress for retaining the Housing Credit and private activity bonds</w:t>
        </w:r>
      </w:hyperlink>
      <w:r w:rsidR="00E336A0"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(PABs), including multifamily Housing Bonds which provide critical financing to roughly half of all Housing Credit projects, in the tax Cuts and Jobs Act. </w:t>
      </w:r>
      <w:r w:rsidR="003E16DB"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However, the lower corporate tax rate and other indirect effects from the bill will lower investor demand for the Credit, resulting in the estimated </w:t>
      </w:r>
      <w:hyperlink r:id="rId9" w:history="1">
        <w:r w:rsidR="003E16DB" w:rsidRPr="00573AF0">
          <w:rPr>
            <w:rStyle w:val="Hyperlink"/>
            <w:rFonts w:asciiTheme="minorHAnsi" w:hAnsiTheme="minorHAnsi" w:cstheme="minorHAnsi"/>
            <w:sz w:val="22"/>
            <w:szCs w:val="22"/>
          </w:rPr>
          <w:t>loss of 235,000 affordable housing units over the next decade</w:t>
        </w:r>
      </w:hyperlink>
      <w:r w:rsidR="003E16DB"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ED09F5" w:rsidRPr="00573AF0">
        <w:rPr>
          <w:rFonts w:asciiTheme="minorHAnsi" w:hAnsiTheme="minorHAnsi" w:cstheme="minorHAnsi"/>
          <w:color w:val="000000"/>
          <w:sz w:val="22"/>
          <w:szCs w:val="22"/>
        </w:rPr>
        <w:t>And in [</w:t>
      </w:r>
      <w:r w:rsidR="00ED09F5"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state</w:t>
      </w:r>
      <w:r w:rsidR="00ED09F5"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], there will be an estimated loss of </w:t>
      </w:r>
      <w:r w:rsidR="00ED09F5"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[##]</w:t>
      </w:r>
      <w:r w:rsidR="00ED09F5"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affordable housing units. [</w:t>
      </w:r>
      <w:hyperlink r:id="rId10" w:history="1">
        <w:r w:rsidR="00ED09F5" w:rsidRPr="00573AF0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find state-specific numbers here</w:t>
        </w:r>
      </w:hyperlink>
      <w:r w:rsidR="00ED09F5" w:rsidRPr="00573AF0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1F67E50D" w14:textId="6FCADDA4" w:rsidR="003E16DB" w:rsidRPr="00573AF0" w:rsidRDefault="003E16DB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3760B120" w14:textId="02D3D43D" w:rsidR="00E336A0" w:rsidRPr="00573AF0" w:rsidRDefault="003E16DB" w:rsidP="00573AF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There is now more reason than ever to enact the Affordable Housing Credit Improvement Act. </w:t>
      </w:r>
      <w:r w:rsidR="00573AF0"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More than </w:t>
      </w:r>
      <w:r w:rsidR="00573AF0"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[##]</w:t>
      </w:r>
      <w:r w:rsidR="00573AF0"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households in [</w:t>
      </w:r>
      <w:r w:rsidR="00573AF0"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state</w:t>
      </w:r>
      <w:r w:rsidR="00573AF0"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] spend </w:t>
      </w:r>
      <w:r w:rsidR="00573AF0" w:rsidRPr="00573AF0">
        <w:rPr>
          <w:rFonts w:asciiTheme="minorHAnsi" w:hAnsiTheme="minorHAnsi" w:cstheme="minorHAnsi"/>
          <w:color w:val="000000"/>
          <w:sz w:val="22"/>
          <w:szCs w:val="22"/>
        </w:rPr>
        <w:t>more than half of their income on rent, leaving too little for other expenses like health care, transportation and nutritious food. The Affordable Housing Credit Improvement Act would make a meaningful dent in this severe shortage – estimates suggest that the bill would help develop or preserve 400,000 more affordable rental housing units over ten years than will otherwise be possible.</w:t>
      </w:r>
      <w:r w:rsidR="00573AF0"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3AF0" w:rsidRPr="00573AF0">
        <w:rPr>
          <w:rFonts w:asciiTheme="minorHAnsi" w:hAnsiTheme="minorHAnsi" w:cstheme="minorHAnsi"/>
          <w:color w:val="000000"/>
          <w:sz w:val="22"/>
          <w:szCs w:val="22"/>
        </w:rPr>
        <w:t>[</w:t>
      </w:r>
      <w:hyperlink r:id="rId11" w:history="1">
        <w:r w:rsidR="00573AF0" w:rsidRPr="00573AF0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Find state-specific numbers here</w:t>
        </w:r>
      </w:hyperlink>
      <w:r w:rsidR="00573AF0"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]</w:t>
      </w:r>
    </w:p>
    <w:p w14:paraId="4BCEF718" w14:textId="354BD2A8" w:rsidR="00E336A0" w:rsidRPr="00573AF0" w:rsidRDefault="00E336A0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DEA2145" w14:textId="77265993" w:rsidR="00E336A0" w:rsidRPr="00573AF0" w:rsidRDefault="00E336A0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hyperlink r:id="rId12" w:history="1">
        <w:r w:rsidRPr="00573AF0">
          <w:rPr>
            <w:rStyle w:val="Hyperlink"/>
            <w:rFonts w:asciiTheme="minorHAnsi" w:hAnsiTheme="minorHAnsi" w:cstheme="minorHAnsi"/>
            <w:sz w:val="22"/>
            <w:szCs w:val="22"/>
          </w:rPr>
          <w:t>bill text</w:t>
        </w:r>
      </w:hyperlink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, a </w:t>
      </w:r>
      <w:hyperlink r:id="rId13" w:history="1">
        <w:r w:rsidRPr="00573AF0">
          <w:rPr>
            <w:rStyle w:val="Hyperlink"/>
            <w:rFonts w:asciiTheme="minorHAnsi" w:hAnsiTheme="minorHAnsi" w:cstheme="minorHAnsi"/>
            <w:sz w:val="22"/>
            <w:szCs w:val="22"/>
          </w:rPr>
          <w:t>section-by-section</w:t>
        </w:r>
      </w:hyperlink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outline of each provision, and a </w:t>
      </w:r>
      <w:hyperlink r:id="rId14" w:history="1">
        <w:r w:rsidRPr="00573AF0">
          <w:rPr>
            <w:rStyle w:val="Hyperlink"/>
            <w:rFonts w:asciiTheme="minorHAnsi" w:hAnsiTheme="minorHAnsi" w:cstheme="minorHAnsi"/>
            <w:sz w:val="22"/>
            <w:szCs w:val="22"/>
          </w:rPr>
          <w:t>summary of the legislation</w:t>
        </w:r>
      </w:hyperlink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are available for your review</w:t>
      </w:r>
      <w:r w:rsidR="00573AF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14B1B1D" w14:textId="1BD65F4F" w:rsidR="00E336A0" w:rsidRPr="00573AF0" w:rsidRDefault="00E336A0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AF0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95C1F6B" w14:textId="77777777" w:rsidR="00E336A0" w:rsidRPr="00573AF0" w:rsidRDefault="00E336A0" w:rsidP="00E336A0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For the more than </w:t>
      </w:r>
      <w:r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[number] [state]</w:t>
      </w:r>
      <w:r w:rsidRPr="00573AF0">
        <w:rPr>
          <w:rFonts w:asciiTheme="minorHAnsi" w:hAnsiTheme="minorHAnsi" w:cstheme="minorHAnsi"/>
          <w:color w:val="000000"/>
          <w:sz w:val="22"/>
          <w:szCs w:val="22"/>
        </w:rPr>
        <w:t xml:space="preserve"> households that currently spend more than half of their income on rent, your support for the Housing Credit is critical. [</w:t>
      </w:r>
      <w:hyperlink r:id="rId15" w:history="1">
        <w:r w:rsidRPr="00573AF0">
          <w:rPr>
            <w:rStyle w:val="Hyperlink"/>
            <w:rFonts w:asciiTheme="minorHAnsi" w:hAnsiTheme="minorHAnsi" w:cstheme="minorHAnsi"/>
            <w:sz w:val="22"/>
            <w:szCs w:val="22"/>
            <w:highlight w:val="yellow"/>
          </w:rPr>
          <w:t>Find state-specific numbers here</w:t>
        </w:r>
      </w:hyperlink>
      <w:r w:rsidRPr="00573AF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]</w:t>
      </w:r>
    </w:p>
    <w:p w14:paraId="1F015F68" w14:textId="77777777" w:rsidR="00E336A0" w:rsidRPr="00573AF0" w:rsidRDefault="00E336A0" w:rsidP="008E4B08">
      <w:pPr>
        <w:pStyle w:val="xxmsonormal"/>
        <w:rPr>
          <w:rFonts w:asciiTheme="minorHAnsi" w:hAnsiTheme="minorHAnsi" w:cstheme="minorHAnsi"/>
          <w:color w:val="212121"/>
          <w:sz w:val="22"/>
          <w:szCs w:val="22"/>
        </w:rPr>
      </w:pPr>
    </w:p>
    <w:p w14:paraId="220B2BB2" w14:textId="41B08F7F" w:rsidR="00737739" w:rsidRPr="00573AF0" w:rsidRDefault="00573AF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737739" w:rsidRPr="0057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A0185"/>
    <w:multiLevelType w:val="multilevel"/>
    <w:tmpl w:val="FC60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08"/>
    <w:rsid w:val="000C616E"/>
    <w:rsid w:val="0012316C"/>
    <w:rsid w:val="00292E6D"/>
    <w:rsid w:val="003E16DB"/>
    <w:rsid w:val="003F5BC3"/>
    <w:rsid w:val="005057C6"/>
    <w:rsid w:val="00573AF0"/>
    <w:rsid w:val="005C5E45"/>
    <w:rsid w:val="007152AC"/>
    <w:rsid w:val="00731208"/>
    <w:rsid w:val="00890122"/>
    <w:rsid w:val="008D5E49"/>
    <w:rsid w:val="008E4B08"/>
    <w:rsid w:val="009A20E9"/>
    <w:rsid w:val="00C36383"/>
    <w:rsid w:val="00C463CA"/>
    <w:rsid w:val="00CF1F79"/>
    <w:rsid w:val="00DD5D13"/>
    <w:rsid w:val="00E336A0"/>
    <w:rsid w:val="00E45906"/>
    <w:rsid w:val="00ED09F5"/>
    <w:rsid w:val="00EE45CA"/>
    <w:rsid w:val="00F977E2"/>
    <w:rsid w:val="00F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BEE8"/>
  <w15:chartTrackingRefBased/>
  <w15:docId w15:val="{2A950D66-474F-4704-B00B-A668DBD3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4B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B08"/>
    <w:rPr>
      <w:color w:val="0000FF"/>
      <w:u w:val="single"/>
    </w:rPr>
  </w:style>
  <w:style w:type="paragraph" w:customStyle="1" w:styleId="xxmsonormal">
    <w:name w:val="x_x_msonormal"/>
    <w:basedOn w:val="Normal"/>
    <w:rsid w:val="008E4B08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31208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336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ntalhousingaction.org/s/ACTION-Thank-You-Statement-on-Preserving-Housing-Programs-in-Tax-Reform.pdf" TargetMode="External"/><Relationship Id="rId13" Type="http://schemas.openxmlformats.org/officeDocument/2006/relationships/hyperlink" Target="https://static1.squarespace.com/static/566ee654bfe8736211c559eb/t/58bf29d7f7e0abb09dd0c156/1488923095516/AHCIA+115th+-+Section+by+Sec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ntalhousingaction.org/state-district/" TargetMode="External"/><Relationship Id="rId12" Type="http://schemas.openxmlformats.org/officeDocument/2006/relationships/hyperlink" Target="https://static1.squarespace.com/static/566ee654bfe8736211c559eb/t/58bf2a0115d5db7d6b8afae8/1488923138062/AHCIA+115th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gress.gov/bill/115th-congress/senate-bill/548" TargetMode="External"/><Relationship Id="rId11" Type="http://schemas.openxmlformats.org/officeDocument/2006/relationships/hyperlink" Target="http://rentalhousingaction.org/state-district/" TargetMode="External"/><Relationship Id="rId5" Type="http://schemas.openxmlformats.org/officeDocument/2006/relationships/hyperlink" Target="https://www.senate.gov/reference/reference_index_subjects/Directories_vrd.htm" TargetMode="External"/><Relationship Id="rId15" Type="http://schemas.openxmlformats.org/officeDocument/2006/relationships/hyperlink" Target="http://rentalhousingaction.org/state-district/" TargetMode="External"/><Relationship Id="rId10" Type="http://schemas.openxmlformats.org/officeDocument/2006/relationships/hyperlink" Target="https://www.novoco.com/notes-from-novogradac/see-how-many-jobs-affordable-rental-homes-each-state-would-lose-under-final-tax-reform-bi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voco.com/notes-from-novogradac/see-how-many-jobs-affordable-rental-homes-each-state-would-lose-under-final-tax-reform-bill" TargetMode="External"/><Relationship Id="rId14" Type="http://schemas.openxmlformats.org/officeDocument/2006/relationships/hyperlink" Target="https://static1.squarespace.com/static/566ee654bfe8736211c559eb/t/58c001ed579fb364709b7719/1488978414769/AHCIA+comprehensive+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Barrow, Olivia</dc:creator>
  <cp:keywords/>
  <dc:description/>
  <cp:lastModifiedBy>Barrow, Olivia</cp:lastModifiedBy>
  <cp:revision>7</cp:revision>
  <dcterms:created xsi:type="dcterms:W3CDTF">2018-01-21T20:05:00Z</dcterms:created>
  <dcterms:modified xsi:type="dcterms:W3CDTF">2018-01-22T19:30:00Z</dcterms:modified>
</cp:coreProperties>
</file>