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F5833" w14:textId="77777777" w:rsidR="00794828" w:rsidRDefault="00794828" w:rsidP="00794828">
      <w:pPr>
        <w:pStyle w:val="NormalWeb"/>
        <w:spacing w:before="0" w:beforeAutospacing="0" w:after="0" w:afterAutospacing="0"/>
        <w:rPr>
          <w:rFonts w:eastAsiaTheme="minorHAnsi"/>
          <w:b/>
          <w:bCs/>
          <w:color w:val="212121"/>
          <w:sz w:val="22"/>
        </w:rPr>
      </w:pPr>
      <w:bookmarkStart w:id="0" w:name="_Toc416357154"/>
      <w:bookmarkStart w:id="1" w:name="_Toc416419310"/>
      <w:bookmarkStart w:id="2" w:name="_Toc421888915"/>
      <w:bookmarkStart w:id="3" w:name="_GoBack"/>
      <w:bookmarkEnd w:id="3"/>
      <w:r>
        <w:rPr>
          <w:b/>
          <w:bCs/>
          <w:color w:val="212121"/>
        </w:rPr>
        <w:t>What is this document?</w:t>
      </w:r>
    </w:p>
    <w:p w14:paraId="1EA77F96" w14:textId="77777777" w:rsidR="00794828" w:rsidRDefault="00794828" w:rsidP="00794828">
      <w:pPr>
        <w:pStyle w:val="NormalWeb"/>
        <w:spacing w:before="0" w:beforeAutospacing="0" w:after="0" w:afterAutospacing="0"/>
      </w:pPr>
    </w:p>
    <w:p w14:paraId="06381EBC" w14:textId="26C08F60" w:rsidR="00CC6247" w:rsidRDefault="00794828" w:rsidP="00CC6247">
      <w:pPr>
        <w:spacing w:after="12"/>
        <w:rPr>
          <w:szCs w:val="24"/>
        </w:rPr>
      </w:pPr>
      <w:r>
        <w:rPr>
          <w:color w:val="212121"/>
        </w:rPr>
        <w:t xml:space="preserve">The RAD Notice -- PIH 2012-32, Housing 2017-03 Rev 3 </w:t>
      </w:r>
      <w:r w:rsidR="002364C7">
        <w:rPr>
          <w:color w:val="212121"/>
        </w:rPr>
        <w:t xml:space="preserve">-- </w:t>
      </w:r>
      <w:r>
        <w:rPr>
          <w:color w:val="212121"/>
        </w:rPr>
        <w:t xml:space="preserve">contains </w:t>
      </w:r>
      <w:r w:rsidR="00593149">
        <w:rPr>
          <w:color w:val="212121"/>
        </w:rPr>
        <w:t xml:space="preserve">separate </w:t>
      </w:r>
      <w:r>
        <w:rPr>
          <w:color w:val="212121"/>
        </w:rPr>
        <w:t>section</w:t>
      </w:r>
      <w:r w:rsidR="00CE4848">
        <w:rPr>
          <w:color w:val="212121"/>
        </w:rPr>
        <w:t>s</w:t>
      </w:r>
      <w:r>
        <w:rPr>
          <w:color w:val="212121"/>
        </w:rPr>
        <w:t xml:space="preserve"> governing the conversion of different program types (or pairing of similar program types) </w:t>
      </w:r>
      <w:r w:rsidR="00593149">
        <w:rPr>
          <w:color w:val="212121"/>
        </w:rPr>
        <w:t xml:space="preserve">that </w:t>
      </w:r>
      <w:r w:rsidR="00CE4848">
        <w:rPr>
          <w:color w:val="212121"/>
        </w:rPr>
        <w:t xml:space="preserve">are </w:t>
      </w:r>
      <w:r>
        <w:rPr>
          <w:color w:val="212121"/>
        </w:rPr>
        <w:t xml:space="preserve">eligible for conversion under RAD. The </w:t>
      </w:r>
      <w:r w:rsidR="00D5453A">
        <w:rPr>
          <w:color w:val="212121"/>
        </w:rPr>
        <w:t xml:space="preserve">Consolidated </w:t>
      </w:r>
      <w:r>
        <w:rPr>
          <w:color w:val="212121"/>
        </w:rPr>
        <w:t>Appropriations Act</w:t>
      </w:r>
      <w:r w:rsidR="00D5453A">
        <w:rPr>
          <w:color w:val="212121"/>
        </w:rPr>
        <w:t>, 2018</w:t>
      </w:r>
      <w:r w:rsidR="002E4836">
        <w:rPr>
          <w:color w:val="212121"/>
        </w:rPr>
        <w:t xml:space="preserve"> (Pub. L. No. 115-141),</w:t>
      </w:r>
      <w:r>
        <w:rPr>
          <w:color w:val="212121"/>
        </w:rPr>
        <w:t xml:space="preserve"> authorized the conversion of properties assisted by Section 202 Project Rental Assistance Contracts. The RAD Notice will be revised in a fourth revision and this document represents a draft of a new Section 4 </w:t>
      </w:r>
      <w:r w:rsidR="00CC6247">
        <w:rPr>
          <w:color w:val="212121"/>
        </w:rPr>
        <w:t>to</w:t>
      </w:r>
      <w:r>
        <w:rPr>
          <w:color w:val="212121"/>
        </w:rPr>
        <w:t xml:space="preserve"> be included. Prior to publication and implementation, this Section is being posted to the Office of Multifamily Housing’s Drafting Table for public feedback. Following consideration of public feedback received, HUD will proceed toward incorporation of this section into the RAD Notice and publication of RAD Notice Revision 4. </w:t>
      </w:r>
      <w:r w:rsidR="00CC6247">
        <w:rPr>
          <w:szCs w:val="24"/>
        </w:rPr>
        <w:t>Please note that capitalized terms that are not defined in this Section refer to defined terms applicable to the entire RAD Notice, which appear on pages 10-14 of the RAD Notice.</w:t>
      </w:r>
    </w:p>
    <w:p w14:paraId="1AD655EA" w14:textId="7852D505" w:rsidR="00794828" w:rsidRDefault="00794828" w:rsidP="00794828">
      <w:pPr>
        <w:pStyle w:val="NormalWeb"/>
        <w:spacing w:before="0" w:beforeAutospacing="0" w:after="0" w:afterAutospacing="0"/>
        <w:rPr>
          <w:color w:val="212121"/>
        </w:rPr>
      </w:pPr>
    </w:p>
    <w:p w14:paraId="2BAAC33B" w14:textId="77777777" w:rsidR="00794828" w:rsidRDefault="00794828" w:rsidP="00794828">
      <w:pPr>
        <w:pStyle w:val="NormalWeb"/>
        <w:spacing w:before="0" w:beforeAutospacing="0" w:after="0" w:afterAutospacing="0"/>
      </w:pPr>
    </w:p>
    <w:p w14:paraId="51108460" w14:textId="77777777" w:rsidR="00794828" w:rsidRDefault="00794828" w:rsidP="00794828">
      <w:pPr>
        <w:pStyle w:val="NormalWeb"/>
        <w:spacing w:before="0" w:beforeAutospacing="0" w:after="0" w:afterAutospacing="0"/>
      </w:pPr>
    </w:p>
    <w:p w14:paraId="01B33DD5" w14:textId="77777777" w:rsidR="00794828" w:rsidRDefault="00794828" w:rsidP="00794828">
      <w:pPr>
        <w:pStyle w:val="NormalWeb"/>
        <w:spacing w:before="0" w:beforeAutospacing="0" w:after="0" w:afterAutospacing="0"/>
        <w:rPr>
          <w:b/>
          <w:bCs/>
          <w:color w:val="212121"/>
        </w:rPr>
      </w:pPr>
      <w:r>
        <w:rPr>
          <w:b/>
          <w:bCs/>
          <w:color w:val="212121"/>
        </w:rPr>
        <w:t>What feedback are we seeking?</w:t>
      </w:r>
    </w:p>
    <w:p w14:paraId="5457B785" w14:textId="77777777" w:rsidR="00794828" w:rsidRDefault="00794828" w:rsidP="00794828">
      <w:pPr>
        <w:pStyle w:val="NormalWeb"/>
        <w:spacing w:before="0" w:beforeAutospacing="0" w:after="0" w:afterAutospacing="0"/>
      </w:pPr>
    </w:p>
    <w:p w14:paraId="44284A6D" w14:textId="77777777" w:rsidR="00794828" w:rsidRDefault="00794828" w:rsidP="00794828">
      <w:pPr>
        <w:pStyle w:val="NormalWeb"/>
        <w:spacing w:before="0" w:beforeAutospacing="0" w:after="0" w:afterAutospacing="0"/>
        <w:rPr>
          <w:color w:val="212121"/>
        </w:rPr>
      </w:pPr>
      <w:r>
        <w:rPr>
          <w:color w:val="212121"/>
        </w:rPr>
        <w:t>HUD is interested in any general or specific feedback on this Section. We encourage responders to consider and address the following:</w:t>
      </w:r>
    </w:p>
    <w:p w14:paraId="58BC11A9" w14:textId="77777777" w:rsidR="00794828" w:rsidRDefault="00794828" w:rsidP="00794828">
      <w:pPr>
        <w:numPr>
          <w:ilvl w:val="0"/>
          <w:numId w:val="26"/>
        </w:numPr>
        <w:spacing w:after="0" w:line="240" w:lineRule="auto"/>
        <w:rPr>
          <w:rFonts w:eastAsia="Times New Roman"/>
          <w:color w:val="212121"/>
        </w:rPr>
      </w:pPr>
      <w:r>
        <w:rPr>
          <w:rFonts w:eastAsia="Times New Roman"/>
          <w:color w:val="212121"/>
        </w:rPr>
        <w:t>Is this document well organized?</w:t>
      </w:r>
    </w:p>
    <w:p w14:paraId="41FE66F9" w14:textId="74A61BCC" w:rsidR="00794828" w:rsidRDefault="00794828" w:rsidP="00794828">
      <w:pPr>
        <w:numPr>
          <w:ilvl w:val="0"/>
          <w:numId w:val="26"/>
        </w:numPr>
        <w:spacing w:after="0" w:line="240" w:lineRule="auto"/>
        <w:rPr>
          <w:rFonts w:eastAsia="Times New Roman"/>
          <w:color w:val="212121"/>
        </w:rPr>
      </w:pPr>
      <w:r>
        <w:rPr>
          <w:rFonts w:eastAsia="Times New Roman"/>
          <w:color w:val="212121"/>
        </w:rPr>
        <w:t xml:space="preserve">Is the guidance set forth in this document clear? Are there sections that are unclear? </w:t>
      </w:r>
    </w:p>
    <w:p w14:paraId="57C12B7B" w14:textId="77777777" w:rsidR="00794828" w:rsidRDefault="00794828" w:rsidP="00794828">
      <w:pPr>
        <w:numPr>
          <w:ilvl w:val="0"/>
          <w:numId w:val="26"/>
        </w:numPr>
        <w:spacing w:after="0" w:line="240" w:lineRule="auto"/>
        <w:rPr>
          <w:rFonts w:eastAsia="Times New Roman"/>
          <w:color w:val="212121"/>
        </w:rPr>
      </w:pPr>
      <w:r>
        <w:rPr>
          <w:rFonts w:eastAsia="Times New Roman"/>
          <w:color w:val="212121"/>
        </w:rPr>
        <w:t>Are the proposed terms of the Use Agreement reasonable and adequate?</w:t>
      </w:r>
    </w:p>
    <w:p w14:paraId="28AE0366" w14:textId="57EC6F04" w:rsidR="00794828" w:rsidRDefault="00794828" w:rsidP="00794828">
      <w:pPr>
        <w:numPr>
          <w:ilvl w:val="0"/>
          <w:numId w:val="26"/>
        </w:numPr>
        <w:spacing w:after="0" w:line="240" w:lineRule="auto"/>
        <w:rPr>
          <w:rFonts w:eastAsia="Times New Roman"/>
          <w:color w:val="212121"/>
        </w:rPr>
      </w:pPr>
      <w:r>
        <w:rPr>
          <w:rFonts w:eastAsia="Times New Roman"/>
          <w:color w:val="212121"/>
        </w:rPr>
        <w:t>Are there unique features of 202 PRACs or the elderly population that the properties serve that HUD has not adequately accounted for in this Notice?</w:t>
      </w:r>
    </w:p>
    <w:p w14:paraId="36C5213E" w14:textId="743F044E" w:rsidR="00794828" w:rsidRDefault="00794828" w:rsidP="00794828">
      <w:pPr>
        <w:numPr>
          <w:ilvl w:val="0"/>
          <w:numId w:val="26"/>
        </w:numPr>
        <w:spacing w:after="0" w:line="240" w:lineRule="auto"/>
        <w:rPr>
          <w:rFonts w:eastAsia="Times New Roman"/>
          <w:color w:val="212121"/>
        </w:rPr>
      </w:pPr>
      <w:r>
        <w:rPr>
          <w:rFonts w:eastAsia="Times New Roman"/>
          <w:color w:val="212121"/>
        </w:rPr>
        <w:t>The draft Section describes an option to convert to Section 8 Project-Based Rental Assistance (PBRA) or to Project</w:t>
      </w:r>
      <w:r w:rsidR="00CE4848">
        <w:rPr>
          <w:rFonts w:eastAsia="Times New Roman"/>
          <w:color w:val="212121"/>
        </w:rPr>
        <w:t xml:space="preserve"> </w:t>
      </w:r>
      <w:r>
        <w:rPr>
          <w:rFonts w:eastAsia="Times New Roman"/>
          <w:color w:val="212121"/>
        </w:rPr>
        <w:t>Based Vouchers (PBV)</w:t>
      </w:r>
      <w:r w:rsidR="002E4836">
        <w:rPr>
          <w:rFonts w:eastAsia="Times New Roman"/>
          <w:color w:val="212121"/>
        </w:rPr>
        <w:t>.</w:t>
      </w:r>
      <w:r>
        <w:rPr>
          <w:rFonts w:eastAsia="Times New Roman"/>
          <w:color w:val="212121"/>
        </w:rPr>
        <w:t xml:space="preserve"> What is the degree of interest in PBV conversions? Please note that while HUD has developed </w:t>
      </w:r>
      <w:r w:rsidR="002E4836">
        <w:rPr>
          <w:rFonts w:eastAsia="Times New Roman"/>
          <w:color w:val="212121"/>
        </w:rPr>
        <w:t xml:space="preserve">a </w:t>
      </w:r>
      <w:r>
        <w:rPr>
          <w:rFonts w:eastAsia="Times New Roman"/>
          <w:color w:val="212121"/>
        </w:rPr>
        <w:t xml:space="preserve">framework </w:t>
      </w:r>
      <w:r w:rsidR="002E4836">
        <w:rPr>
          <w:rFonts w:eastAsia="Times New Roman"/>
          <w:color w:val="212121"/>
        </w:rPr>
        <w:t xml:space="preserve">to </w:t>
      </w:r>
      <w:r>
        <w:rPr>
          <w:rFonts w:eastAsia="Times New Roman"/>
          <w:color w:val="212121"/>
        </w:rPr>
        <w:t>seamlessly fund</w:t>
      </w:r>
      <w:r w:rsidR="00EC5BC9">
        <w:rPr>
          <w:rFonts w:eastAsia="Times New Roman"/>
          <w:color w:val="212121"/>
        </w:rPr>
        <w:t xml:space="preserve"> </w:t>
      </w:r>
      <w:r>
        <w:rPr>
          <w:rFonts w:eastAsia="Times New Roman"/>
          <w:color w:val="212121"/>
        </w:rPr>
        <w:t>a conversion from PRAC to PBRA, funding a conversion from PRAC to PBV is likely to be more complex.</w:t>
      </w:r>
    </w:p>
    <w:p w14:paraId="43992269" w14:textId="77777777" w:rsidR="00794828" w:rsidRDefault="00794828" w:rsidP="00794828">
      <w:pPr>
        <w:numPr>
          <w:ilvl w:val="0"/>
          <w:numId w:val="26"/>
        </w:numPr>
        <w:spacing w:after="0" w:line="240" w:lineRule="auto"/>
        <w:rPr>
          <w:rFonts w:eastAsia="Times New Roman"/>
          <w:color w:val="212121"/>
        </w:rPr>
      </w:pPr>
      <w:r>
        <w:rPr>
          <w:rFonts w:eastAsia="Times New Roman"/>
          <w:color w:val="212121"/>
        </w:rPr>
        <w:t>Does HUD provide adequate avenues for stakeholders to provide feedback on the direction of the RAD program and, if not, what additional measures for public feedback should HUD consider? </w:t>
      </w:r>
    </w:p>
    <w:p w14:paraId="64C9FCA5" w14:textId="77777777" w:rsidR="00794828" w:rsidRDefault="00794828" w:rsidP="00794828">
      <w:pPr>
        <w:pStyle w:val="NormalWeb"/>
        <w:spacing w:before="0" w:beforeAutospacing="0" w:after="0" w:afterAutospacing="0"/>
        <w:rPr>
          <w:rFonts w:eastAsiaTheme="minorHAnsi"/>
          <w:color w:val="212121"/>
        </w:rPr>
      </w:pPr>
      <w:r>
        <w:rPr>
          <w:color w:val="212121"/>
        </w:rPr>
        <w:t> </w:t>
      </w:r>
    </w:p>
    <w:p w14:paraId="33EE325D" w14:textId="77777777" w:rsidR="00794828" w:rsidRDefault="00794828" w:rsidP="00794828">
      <w:pPr>
        <w:pStyle w:val="NormalWeb"/>
        <w:spacing w:before="0" w:beforeAutospacing="0" w:after="0" w:afterAutospacing="0"/>
      </w:pPr>
    </w:p>
    <w:p w14:paraId="540EED41" w14:textId="77777777" w:rsidR="00794828" w:rsidRDefault="00794828" w:rsidP="00794828">
      <w:pPr>
        <w:pStyle w:val="NormalWeb"/>
        <w:spacing w:before="0" w:beforeAutospacing="0" w:after="0" w:afterAutospacing="0"/>
        <w:rPr>
          <w:b/>
          <w:bCs/>
          <w:color w:val="212121"/>
        </w:rPr>
      </w:pPr>
      <w:r>
        <w:rPr>
          <w:b/>
          <w:bCs/>
          <w:color w:val="212121"/>
        </w:rPr>
        <w:t>Where can you send feedback?</w:t>
      </w:r>
    </w:p>
    <w:p w14:paraId="5BB0BDCA" w14:textId="77777777" w:rsidR="00794828" w:rsidRDefault="00794828" w:rsidP="00794828">
      <w:pPr>
        <w:pStyle w:val="NormalWeb"/>
        <w:spacing w:before="0" w:beforeAutospacing="0" w:after="0" w:afterAutospacing="0"/>
      </w:pPr>
    </w:p>
    <w:p w14:paraId="266DCCCB" w14:textId="77777777" w:rsidR="00794828" w:rsidRDefault="00794828" w:rsidP="00794828">
      <w:pPr>
        <w:pStyle w:val="NormalWeb"/>
        <w:spacing w:before="0" w:beforeAutospacing="0" w:after="0" w:afterAutospacing="0"/>
        <w:rPr>
          <w:color w:val="212121"/>
        </w:rPr>
      </w:pPr>
      <w:r>
        <w:rPr>
          <w:color w:val="212121"/>
        </w:rPr>
        <w:t xml:space="preserve">Please send written comments via e-mail to </w:t>
      </w:r>
      <w:hyperlink r:id="rId12" w:tgtFrame="_blank" w:history="1">
        <w:r>
          <w:rPr>
            <w:rStyle w:val="Hyperlink"/>
            <w:bdr w:val="none" w:sz="0" w:space="0" w:color="auto" w:frame="1"/>
          </w:rPr>
          <w:t>rad2@hud.gov</w:t>
        </w:r>
      </w:hyperlink>
    </w:p>
    <w:p w14:paraId="7BDF78A5" w14:textId="3C8228F4" w:rsidR="001179B6" w:rsidRPr="001179B6" w:rsidRDefault="001179B6" w:rsidP="00942B92">
      <w:pPr>
        <w:pBdr>
          <w:bottom w:val="single" w:sz="4" w:space="1" w:color="auto"/>
        </w:pBdr>
        <w:spacing w:after="12"/>
        <w:rPr>
          <w:szCs w:val="24"/>
        </w:rPr>
      </w:pPr>
    </w:p>
    <w:p w14:paraId="6621FDBE" w14:textId="77777777" w:rsidR="001179B6" w:rsidRDefault="001179B6" w:rsidP="00A14DCD">
      <w:pPr>
        <w:keepNext/>
        <w:spacing w:after="12"/>
        <w:outlineLvl w:val="0"/>
        <w:rPr>
          <w:rFonts w:eastAsia="Times New Roman"/>
          <w:b/>
          <w:smallCaps/>
          <w:szCs w:val="24"/>
        </w:rPr>
      </w:pPr>
    </w:p>
    <w:p w14:paraId="241B4851" w14:textId="77777777" w:rsidR="00942B92" w:rsidRDefault="00942B92">
      <w:pPr>
        <w:spacing w:after="160" w:line="259" w:lineRule="auto"/>
        <w:rPr>
          <w:rFonts w:eastAsia="Times New Roman"/>
          <w:b/>
          <w:smallCaps/>
          <w:szCs w:val="24"/>
        </w:rPr>
        <w:sectPr w:rsidR="00942B92" w:rsidSect="00A14DCD">
          <w:headerReference w:type="default" r:id="rId13"/>
          <w:footerReference w:type="default" r:id="rId14"/>
          <w:type w:val="continuous"/>
          <w:pgSz w:w="12240" w:h="15840"/>
          <w:pgMar w:top="1440" w:right="1440" w:bottom="1440" w:left="1440" w:header="720" w:footer="720" w:gutter="0"/>
          <w:cols w:space="720"/>
          <w:docGrid w:linePitch="360"/>
        </w:sectPr>
      </w:pPr>
    </w:p>
    <w:p w14:paraId="7F57C48F" w14:textId="77777777" w:rsidR="00A14DCD" w:rsidRPr="00077064" w:rsidRDefault="00A14DCD" w:rsidP="00A14DCD">
      <w:pPr>
        <w:keepNext/>
        <w:spacing w:after="12"/>
        <w:outlineLvl w:val="0"/>
        <w:rPr>
          <w:rFonts w:eastAsia="Times New Roman"/>
          <w:b/>
          <w:smallCaps/>
          <w:szCs w:val="24"/>
        </w:rPr>
      </w:pPr>
      <w:r w:rsidRPr="00077064">
        <w:rPr>
          <w:rFonts w:eastAsia="Times New Roman"/>
          <w:b/>
          <w:smallCaps/>
          <w:szCs w:val="24"/>
        </w:rPr>
        <w:lastRenderedPageBreak/>
        <w:t>Section I</w:t>
      </w:r>
      <w:r w:rsidR="00CA71E6">
        <w:rPr>
          <w:rFonts w:eastAsia="Times New Roman"/>
          <w:b/>
          <w:smallCaps/>
          <w:szCs w:val="24"/>
        </w:rPr>
        <w:t>V</w:t>
      </w:r>
      <w:r w:rsidRPr="00077064">
        <w:rPr>
          <w:rFonts w:eastAsia="Times New Roman"/>
          <w:b/>
          <w:smallCaps/>
          <w:szCs w:val="24"/>
        </w:rPr>
        <w:t xml:space="preserve">: </w:t>
      </w:r>
      <w:bookmarkEnd w:id="0"/>
      <w:bookmarkEnd w:id="1"/>
      <w:bookmarkEnd w:id="2"/>
      <w:r w:rsidR="00CA71E6">
        <w:rPr>
          <w:rFonts w:eastAsia="Times New Roman"/>
          <w:b/>
          <w:smallCaps/>
          <w:szCs w:val="24"/>
        </w:rPr>
        <w:t>Section 202 Project Rental Assistance Contract</w:t>
      </w:r>
      <w:r w:rsidR="00BD467A">
        <w:rPr>
          <w:rFonts w:eastAsia="Times New Roman"/>
          <w:b/>
          <w:smallCaps/>
          <w:szCs w:val="24"/>
        </w:rPr>
        <w:t xml:space="preserve"> (PRAC) Projects </w:t>
      </w:r>
    </w:p>
    <w:p w14:paraId="7F57C490" w14:textId="77777777" w:rsidR="00A14DCD" w:rsidRPr="00077064" w:rsidRDefault="00B35920" w:rsidP="00A14DCD">
      <w:pPr>
        <w:keepNext/>
        <w:keepLines/>
        <w:numPr>
          <w:ilvl w:val="1"/>
          <w:numId w:val="0"/>
        </w:numPr>
        <w:spacing w:before="320" w:after="120" w:line="360" w:lineRule="auto"/>
        <w:ind w:left="1422" w:hanging="432"/>
        <w:outlineLvl w:val="1"/>
        <w:rPr>
          <w:rFonts w:eastAsia="Times New Roman"/>
          <w:szCs w:val="24"/>
          <w:u w:val="single"/>
        </w:rPr>
      </w:pPr>
      <w:bookmarkStart w:id="4" w:name="_Toc314142392"/>
      <w:bookmarkStart w:id="5" w:name="_Toc358367382"/>
      <w:bookmarkStart w:id="6" w:name="_Toc353369283"/>
      <w:bookmarkStart w:id="7" w:name="_Toc416357155"/>
      <w:bookmarkStart w:id="8" w:name="_Toc416419311"/>
      <w:bookmarkStart w:id="9" w:name="_Toc421888916"/>
      <w:r w:rsidRPr="003A0444">
        <w:rPr>
          <w:rFonts w:eastAsia="Times New Roman"/>
          <w:bCs/>
          <w:szCs w:val="24"/>
        </w:rPr>
        <w:t>4</w:t>
      </w:r>
      <w:r w:rsidR="00A14DCD" w:rsidRPr="003A0444">
        <w:rPr>
          <w:rFonts w:eastAsia="Times New Roman"/>
          <w:bCs/>
          <w:szCs w:val="24"/>
        </w:rPr>
        <w:t xml:space="preserve">.1 </w:t>
      </w:r>
      <w:r w:rsidR="00A14DCD" w:rsidRPr="00077064">
        <w:rPr>
          <w:rFonts w:eastAsia="Times New Roman"/>
          <w:b/>
          <w:bCs/>
          <w:szCs w:val="24"/>
          <w:u w:val="single"/>
        </w:rPr>
        <w:t>Purpose</w:t>
      </w:r>
      <w:bookmarkEnd w:id="4"/>
      <w:bookmarkEnd w:id="5"/>
      <w:bookmarkEnd w:id="6"/>
      <w:bookmarkEnd w:id="7"/>
      <w:bookmarkEnd w:id="8"/>
      <w:bookmarkEnd w:id="9"/>
    </w:p>
    <w:p w14:paraId="7F57C491" w14:textId="248D3318" w:rsidR="00A25539" w:rsidRDefault="00672D7C" w:rsidP="00A14DCD">
      <w:pPr>
        <w:spacing w:after="12"/>
        <w:rPr>
          <w:szCs w:val="24"/>
        </w:rPr>
      </w:pPr>
      <w:r w:rsidRPr="00F4194E" w:rsidDel="00F410FA">
        <w:rPr>
          <w:szCs w:val="24"/>
        </w:rPr>
        <w:t xml:space="preserve">Section 237 of the General Provisions – Department of Housing and Urban Development in the </w:t>
      </w:r>
      <w:r w:rsidR="00D57E21">
        <w:rPr>
          <w:color w:val="212121"/>
        </w:rPr>
        <w:t>Consolidated Appropriations Act, 2018 (Pub. L. No. 115-141)</w:t>
      </w:r>
      <w:r w:rsidRPr="00F4194E" w:rsidDel="00F410FA">
        <w:rPr>
          <w:szCs w:val="24"/>
        </w:rPr>
        <w:t xml:space="preserve"> authorized RAD conversion of </w:t>
      </w:r>
      <w:r w:rsidR="006F1745">
        <w:rPr>
          <w:szCs w:val="24"/>
        </w:rPr>
        <w:t xml:space="preserve">Project Rental Assistance Contracts (PRACs) under </w:t>
      </w:r>
      <w:r w:rsidRPr="00F4194E" w:rsidDel="00F410FA">
        <w:rPr>
          <w:szCs w:val="24"/>
        </w:rPr>
        <w:t>Section 202</w:t>
      </w:r>
      <w:r w:rsidR="006F1745">
        <w:rPr>
          <w:szCs w:val="24"/>
        </w:rPr>
        <w:t>(c)(2) of the Housing Act of 1959</w:t>
      </w:r>
      <w:r w:rsidR="0043258D">
        <w:rPr>
          <w:szCs w:val="24"/>
        </w:rPr>
        <w:t xml:space="preserve">. </w:t>
      </w:r>
      <w:r w:rsidR="00A14DCD" w:rsidRPr="00077064">
        <w:rPr>
          <w:szCs w:val="24"/>
        </w:rPr>
        <w:t xml:space="preserve">This Section provides RAD program instructions to </w:t>
      </w:r>
      <w:r w:rsidR="000078CE">
        <w:rPr>
          <w:szCs w:val="24"/>
        </w:rPr>
        <w:t>o</w:t>
      </w:r>
      <w:r w:rsidR="00CA79EC">
        <w:rPr>
          <w:szCs w:val="24"/>
        </w:rPr>
        <w:t>wner</w:t>
      </w:r>
      <w:r w:rsidR="00A14DCD" w:rsidRPr="00077064">
        <w:rPr>
          <w:szCs w:val="24"/>
        </w:rPr>
        <w:t xml:space="preserve">s of </w:t>
      </w:r>
      <w:r w:rsidR="006F1745">
        <w:rPr>
          <w:szCs w:val="24"/>
        </w:rPr>
        <w:t xml:space="preserve">these </w:t>
      </w:r>
      <w:r w:rsidR="00165BDC">
        <w:rPr>
          <w:szCs w:val="24"/>
        </w:rPr>
        <w:t xml:space="preserve">Section 202 </w:t>
      </w:r>
      <w:r w:rsidR="006F1745">
        <w:rPr>
          <w:szCs w:val="24"/>
        </w:rPr>
        <w:t xml:space="preserve">Housing for the Elderly </w:t>
      </w:r>
      <w:r w:rsidR="00546060">
        <w:rPr>
          <w:szCs w:val="24"/>
        </w:rPr>
        <w:t>Capital Advance p</w:t>
      </w:r>
      <w:r w:rsidR="005F5675">
        <w:rPr>
          <w:szCs w:val="24"/>
        </w:rPr>
        <w:t>roperties</w:t>
      </w:r>
      <w:r w:rsidR="00546060">
        <w:rPr>
          <w:szCs w:val="24"/>
        </w:rPr>
        <w:t xml:space="preserve"> with </w:t>
      </w:r>
      <w:r w:rsidR="00165BDC">
        <w:rPr>
          <w:szCs w:val="24"/>
        </w:rPr>
        <w:t>PRAC</w:t>
      </w:r>
      <w:r w:rsidR="006F1745">
        <w:rPr>
          <w:szCs w:val="24"/>
        </w:rPr>
        <w:t>s</w:t>
      </w:r>
      <w:r w:rsidR="00A14DCD" w:rsidRPr="00077064">
        <w:rPr>
          <w:szCs w:val="24"/>
        </w:rPr>
        <w:t>.</w:t>
      </w:r>
      <w:bookmarkStart w:id="10" w:name="_Toc328584373"/>
      <w:bookmarkStart w:id="11" w:name="_Toc328584515"/>
      <w:bookmarkStart w:id="12" w:name="_Toc328591553"/>
      <w:bookmarkStart w:id="13" w:name="_Toc328759037"/>
      <w:bookmarkStart w:id="14" w:name="_Toc328759232"/>
      <w:bookmarkStart w:id="15" w:name="_Toc328759427"/>
      <w:bookmarkStart w:id="16" w:name="_Toc328759622"/>
      <w:bookmarkStart w:id="17" w:name="_Toc328759817"/>
      <w:bookmarkStart w:id="18" w:name="_Toc328760013"/>
      <w:bookmarkStart w:id="19" w:name="_Toc328781954"/>
      <w:bookmarkStart w:id="20" w:name="_Toc328782152"/>
      <w:bookmarkStart w:id="21" w:name="_Toc328782349"/>
      <w:bookmarkStart w:id="22" w:name="_Toc328996132"/>
      <w:bookmarkStart w:id="23" w:name="_Toc329003865"/>
      <w:bookmarkStart w:id="24" w:name="_Toc328584374"/>
      <w:bookmarkStart w:id="25" w:name="_Toc328584516"/>
      <w:bookmarkStart w:id="26" w:name="_Toc328591554"/>
      <w:bookmarkStart w:id="27" w:name="_Toc328759038"/>
      <w:bookmarkStart w:id="28" w:name="_Toc328759233"/>
      <w:bookmarkStart w:id="29" w:name="_Toc328759428"/>
      <w:bookmarkStart w:id="30" w:name="_Toc328759623"/>
      <w:bookmarkStart w:id="31" w:name="_Toc328759818"/>
      <w:bookmarkStart w:id="32" w:name="_Toc328760014"/>
      <w:bookmarkStart w:id="33" w:name="_Toc328781955"/>
      <w:bookmarkStart w:id="34" w:name="_Toc328782153"/>
      <w:bookmarkStart w:id="35" w:name="_Toc328782350"/>
      <w:bookmarkStart w:id="36" w:name="_Toc328996133"/>
      <w:bookmarkStart w:id="37" w:name="_Toc329003866"/>
      <w:bookmarkStart w:id="38" w:name="_Toc31414241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A14DCD" w:rsidRPr="00077064">
        <w:rPr>
          <w:szCs w:val="24"/>
        </w:rPr>
        <w:t xml:space="preserve"> </w:t>
      </w:r>
      <w:r w:rsidR="00165BDC">
        <w:rPr>
          <w:szCs w:val="24"/>
        </w:rPr>
        <w:t>T</w:t>
      </w:r>
      <w:r w:rsidR="00A14DCD" w:rsidRPr="00077064">
        <w:rPr>
          <w:szCs w:val="24"/>
        </w:rPr>
        <w:t>hese pro</w:t>
      </w:r>
      <w:r w:rsidR="005F5675">
        <w:rPr>
          <w:szCs w:val="24"/>
        </w:rPr>
        <w:t>pertie</w:t>
      </w:r>
      <w:r w:rsidR="00A14DCD" w:rsidRPr="00077064">
        <w:rPr>
          <w:szCs w:val="24"/>
        </w:rPr>
        <w:t xml:space="preserve">s </w:t>
      </w:r>
      <w:r w:rsidR="00165BDC">
        <w:rPr>
          <w:szCs w:val="24"/>
        </w:rPr>
        <w:t>are</w:t>
      </w:r>
      <w:r w:rsidR="00A14DCD" w:rsidRPr="00077064">
        <w:rPr>
          <w:szCs w:val="24"/>
        </w:rPr>
        <w:t xml:space="preserve"> referred to as “</w:t>
      </w:r>
      <w:r w:rsidR="00682198">
        <w:rPr>
          <w:szCs w:val="24"/>
        </w:rPr>
        <w:t xml:space="preserve">202 </w:t>
      </w:r>
      <w:r w:rsidR="00165BDC">
        <w:rPr>
          <w:szCs w:val="24"/>
        </w:rPr>
        <w:t>PRAC</w:t>
      </w:r>
      <w:r w:rsidR="00A14DCD" w:rsidRPr="00077064">
        <w:rPr>
          <w:szCs w:val="24"/>
        </w:rPr>
        <w:t xml:space="preserve"> </w:t>
      </w:r>
      <w:r w:rsidR="00546060">
        <w:rPr>
          <w:szCs w:val="24"/>
        </w:rPr>
        <w:t>P</w:t>
      </w:r>
      <w:r w:rsidR="00A14DCD" w:rsidRPr="00077064">
        <w:rPr>
          <w:szCs w:val="24"/>
        </w:rPr>
        <w:t>rojects</w:t>
      </w:r>
      <w:r w:rsidR="00546060">
        <w:rPr>
          <w:szCs w:val="24"/>
        </w:rPr>
        <w:t>”</w:t>
      </w:r>
      <w:r w:rsidR="00A14DCD" w:rsidRPr="00077064">
        <w:rPr>
          <w:szCs w:val="24"/>
        </w:rPr>
        <w:t xml:space="preserve"> unless otherwise noted</w:t>
      </w:r>
      <w:r w:rsidR="0043258D">
        <w:rPr>
          <w:szCs w:val="24"/>
        </w:rPr>
        <w:t xml:space="preserve">. </w:t>
      </w:r>
    </w:p>
    <w:p w14:paraId="7F57C492" w14:textId="77777777" w:rsidR="00A25539" w:rsidRDefault="00A25539" w:rsidP="00A14DCD">
      <w:pPr>
        <w:spacing w:after="12"/>
        <w:rPr>
          <w:szCs w:val="24"/>
        </w:rPr>
      </w:pPr>
    </w:p>
    <w:p w14:paraId="7F57C493" w14:textId="101F6482" w:rsidR="00A14DCD" w:rsidRPr="00077064" w:rsidRDefault="00165BDC" w:rsidP="00A14DCD">
      <w:pPr>
        <w:spacing w:after="12"/>
        <w:rPr>
          <w:szCs w:val="24"/>
        </w:rPr>
      </w:pPr>
      <w:r>
        <w:rPr>
          <w:szCs w:val="24"/>
        </w:rPr>
        <w:t>W</w:t>
      </w:r>
      <w:r w:rsidR="00A14DCD" w:rsidRPr="00077064">
        <w:rPr>
          <w:szCs w:val="24"/>
        </w:rPr>
        <w:t xml:space="preserve">hile the Second Component </w:t>
      </w:r>
      <w:r w:rsidR="00AD131C">
        <w:rPr>
          <w:szCs w:val="24"/>
        </w:rPr>
        <w:t xml:space="preserve">of RAD </w:t>
      </w:r>
      <w:r w:rsidR="00A14DCD" w:rsidRPr="00077064">
        <w:rPr>
          <w:szCs w:val="24"/>
        </w:rPr>
        <w:t>does not have the broad statutory waiver authority that the First Component does, the Second Component does provide that participation is subject to “requirements established by the Secretary.” HUD has used this authority</w:t>
      </w:r>
      <w:r w:rsidR="00F11F3E">
        <w:rPr>
          <w:szCs w:val="24"/>
        </w:rPr>
        <w:t xml:space="preserve"> and standard regulatory waiver authority</w:t>
      </w:r>
      <w:r w:rsidR="00A14DCD" w:rsidRPr="00077064">
        <w:rPr>
          <w:szCs w:val="24"/>
        </w:rPr>
        <w:t xml:space="preserve"> to develop alternative requirements, and to waive purely regulatory provisions</w:t>
      </w:r>
      <w:r w:rsidR="00CC6247">
        <w:rPr>
          <w:szCs w:val="24"/>
        </w:rPr>
        <w:t xml:space="preserve"> where necessary</w:t>
      </w:r>
      <w:r w:rsidR="00A14DCD" w:rsidRPr="00077064">
        <w:rPr>
          <w:szCs w:val="24"/>
        </w:rPr>
        <w:t xml:space="preserve"> in order to fulfill the purposes of the Demonstration. </w:t>
      </w:r>
    </w:p>
    <w:p w14:paraId="7F57C494" w14:textId="77777777" w:rsidR="00A14DCD" w:rsidRPr="00077064" w:rsidRDefault="00B35920" w:rsidP="00A14DCD">
      <w:pPr>
        <w:keepNext/>
        <w:keepLines/>
        <w:numPr>
          <w:ilvl w:val="1"/>
          <w:numId w:val="0"/>
        </w:numPr>
        <w:spacing w:before="320" w:after="120" w:line="360" w:lineRule="auto"/>
        <w:ind w:left="1422" w:hanging="432"/>
        <w:outlineLvl w:val="1"/>
        <w:rPr>
          <w:rFonts w:eastAsia="Times New Roman"/>
          <w:szCs w:val="24"/>
          <w:u w:val="single"/>
        </w:rPr>
      </w:pPr>
      <w:bookmarkStart w:id="39" w:name="_Toc358367384"/>
      <w:bookmarkStart w:id="40" w:name="_Toc353369285"/>
      <w:bookmarkStart w:id="41" w:name="_Toc416357156"/>
      <w:bookmarkStart w:id="42" w:name="_Toc416419312"/>
      <w:bookmarkStart w:id="43" w:name="_Toc421888917"/>
      <w:r w:rsidRPr="003A0444">
        <w:rPr>
          <w:rFonts w:eastAsia="Times New Roman"/>
          <w:bCs/>
          <w:szCs w:val="24"/>
        </w:rPr>
        <w:t>4</w:t>
      </w:r>
      <w:r w:rsidR="00A14DCD" w:rsidRPr="003A0444">
        <w:rPr>
          <w:rFonts w:eastAsia="Times New Roman"/>
          <w:bCs/>
          <w:szCs w:val="24"/>
        </w:rPr>
        <w:t xml:space="preserve">.2 </w:t>
      </w:r>
      <w:r w:rsidR="00A14DCD" w:rsidRPr="00077064">
        <w:rPr>
          <w:rFonts w:eastAsia="Times New Roman"/>
          <w:b/>
          <w:bCs/>
          <w:szCs w:val="24"/>
          <w:u w:val="single"/>
        </w:rPr>
        <w:t>General Program Description</w:t>
      </w:r>
      <w:bookmarkEnd w:id="38"/>
      <w:bookmarkEnd w:id="39"/>
      <w:bookmarkEnd w:id="40"/>
      <w:bookmarkEnd w:id="41"/>
      <w:bookmarkEnd w:id="42"/>
      <w:bookmarkEnd w:id="43"/>
    </w:p>
    <w:p w14:paraId="7F57C495" w14:textId="23EB75CB" w:rsidR="002C2A82" w:rsidRDefault="00161CD9" w:rsidP="00A14DCD">
      <w:pPr>
        <w:spacing w:after="12"/>
        <w:rPr>
          <w:szCs w:val="24"/>
        </w:rPr>
      </w:pPr>
      <w:r>
        <w:rPr>
          <w:szCs w:val="24"/>
        </w:rPr>
        <w:t>Under the Second Component of RAD, a</w:t>
      </w:r>
      <w:r w:rsidR="000078CE">
        <w:rPr>
          <w:szCs w:val="24"/>
        </w:rPr>
        <w:t xml:space="preserve"> </w:t>
      </w:r>
      <w:r w:rsidR="00CC6247">
        <w:rPr>
          <w:szCs w:val="24"/>
        </w:rPr>
        <w:t xml:space="preserve">202 PRAC </w:t>
      </w:r>
      <w:r w:rsidR="000078CE">
        <w:rPr>
          <w:szCs w:val="24"/>
        </w:rPr>
        <w:t xml:space="preserve">Project </w:t>
      </w:r>
      <w:r w:rsidR="006C5107">
        <w:rPr>
          <w:szCs w:val="24"/>
        </w:rPr>
        <w:t>O</w:t>
      </w:r>
      <w:r w:rsidR="00CA79EC">
        <w:rPr>
          <w:szCs w:val="24"/>
        </w:rPr>
        <w:t>wner</w:t>
      </w:r>
      <w:r w:rsidR="004F4EAD">
        <w:rPr>
          <w:szCs w:val="24"/>
        </w:rPr>
        <w:t xml:space="preserve"> may convert an eligible PRAC to one of two </w:t>
      </w:r>
      <w:r w:rsidR="00A14DCD" w:rsidRPr="00077064">
        <w:rPr>
          <w:szCs w:val="24"/>
        </w:rPr>
        <w:t>forms of long-term Section 8 Housing Assistance Payment (HAP) Contracts: project-based vouchers (PBVs) or project-based rental assistance (PBRA).</w:t>
      </w:r>
      <w:r w:rsidR="003B5699">
        <w:rPr>
          <w:szCs w:val="24"/>
        </w:rPr>
        <w:t xml:space="preserve"> </w:t>
      </w:r>
      <w:r w:rsidR="004F4EAD">
        <w:rPr>
          <w:szCs w:val="24"/>
        </w:rPr>
        <w:t xml:space="preserve">The selection is the </w:t>
      </w:r>
      <w:r w:rsidR="000078CE">
        <w:rPr>
          <w:szCs w:val="24"/>
        </w:rPr>
        <w:t xml:space="preserve">Project </w:t>
      </w:r>
      <w:r w:rsidR="00CA79EC">
        <w:rPr>
          <w:szCs w:val="24"/>
        </w:rPr>
        <w:t>Owner</w:t>
      </w:r>
      <w:r w:rsidR="004F4EAD">
        <w:rPr>
          <w:szCs w:val="24"/>
        </w:rPr>
        <w:t>’s choice</w:t>
      </w:r>
      <w:r w:rsidR="00AD131C">
        <w:rPr>
          <w:szCs w:val="24"/>
        </w:rPr>
        <w:t xml:space="preserve">. </w:t>
      </w:r>
      <w:r w:rsidR="004F4EAD">
        <w:rPr>
          <w:szCs w:val="24"/>
        </w:rPr>
        <w:t xml:space="preserve">At the time of conversion, </w:t>
      </w:r>
      <w:r w:rsidR="002C2A82" w:rsidRPr="00077064">
        <w:rPr>
          <w:szCs w:val="24"/>
        </w:rPr>
        <w:t xml:space="preserve">Converting Projects will be </w:t>
      </w:r>
      <w:bookmarkStart w:id="44" w:name="_Hlk527643807"/>
      <w:r w:rsidR="002C2A82" w:rsidRPr="00077064">
        <w:rPr>
          <w:szCs w:val="24"/>
        </w:rPr>
        <w:t xml:space="preserve">released from </w:t>
      </w:r>
      <w:r w:rsidR="00F11F3E">
        <w:rPr>
          <w:szCs w:val="24"/>
        </w:rPr>
        <w:t xml:space="preserve">any outstanding obligations under </w:t>
      </w:r>
      <w:r w:rsidR="002C2A82" w:rsidRPr="00077064">
        <w:rPr>
          <w:szCs w:val="24"/>
        </w:rPr>
        <w:t>the</w:t>
      </w:r>
      <w:r w:rsidR="00FA5CB8">
        <w:rPr>
          <w:szCs w:val="24"/>
        </w:rPr>
        <w:t xml:space="preserve"> Capital Advance Agreement,</w:t>
      </w:r>
      <w:r w:rsidR="000C168B">
        <w:rPr>
          <w:szCs w:val="24"/>
        </w:rPr>
        <w:t xml:space="preserve"> the</w:t>
      </w:r>
      <w:r w:rsidR="00FA5CB8">
        <w:rPr>
          <w:szCs w:val="24"/>
        </w:rPr>
        <w:t xml:space="preserve"> </w:t>
      </w:r>
      <w:r w:rsidR="00AB3548">
        <w:rPr>
          <w:szCs w:val="24"/>
        </w:rPr>
        <w:t xml:space="preserve">Capital Advance Mortgage Note, </w:t>
      </w:r>
      <w:r w:rsidR="000C168B">
        <w:rPr>
          <w:szCs w:val="24"/>
        </w:rPr>
        <w:t xml:space="preserve">the </w:t>
      </w:r>
      <w:r w:rsidR="002C2A82">
        <w:rPr>
          <w:szCs w:val="24"/>
        </w:rPr>
        <w:t xml:space="preserve">Capital Advance </w:t>
      </w:r>
      <w:r w:rsidR="00FA5CB8">
        <w:rPr>
          <w:szCs w:val="24"/>
        </w:rPr>
        <w:t xml:space="preserve">Program </w:t>
      </w:r>
      <w:r w:rsidR="002C2A82">
        <w:rPr>
          <w:szCs w:val="24"/>
        </w:rPr>
        <w:t>Regulatory Agreement</w:t>
      </w:r>
      <w:r w:rsidR="000C168B">
        <w:rPr>
          <w:szCs w:val="24"/>
        </w:rPr>
        <w:t>,</w:t>
      </w:r>
      <w:r w:rsidR="006627CA">
        <w:rPr>
          <w:szCs w:val="24"/>
        </w:rPr>
        <w:t xml:space="preserve"> the Capital Advance</w:t>
      </w:r>
      <w:r w:rsidR="00FA5CB8">
        <w:rPr>
          <w:szCs w:val="24"/>
        </w:rPr>
        <w:t xml:space="preserve"> Program</w:t>
      </w:r>
      <w:r w:rsidR="006627CA">
        <w:rPr>
          <w:szCs w:val="24"/>
        </w:rPr>
        <w:t xml:space="preserve"> Use Agreement</w:t>
      </w:r>
      <w:r w:rsidR="000C168B">
        <w:rPr>
          <w:szCs w:val="24"/>
        </w:rPr>
        <w:t>, and related or collateral documents</w:t>
      </w:r>
      <w:r w:rsidR="004F4EAD">
        <w:rPr>
          <w:szCs w:val="24"/>
        </w:rPr>
        <w:t xml:space="preserve"> associated with the PRAC </w:t>
      </w:r>
      <w:r w:rsidR="000C168B">
        <w:rPr>
          <w:szCs w:val="24"/>
        </w:rPr>
        <w:t xml:space="preserve">and the foregoing documents </w:t>
      </w:r>
      <w:r w:rsidR="004F4EAD">
        <w:rPr>
          <w:szCs w:val="24"/>
        </w:rPr>
        <w:t xml:space="preserve">and will enter into an </w:t>
      </w:r>
      <w:r w:rsidR="0037724B">
        <w:rPr>
          <w:szCs w:val="24"/>
        </w:rPr>
        <w:t xml:space="preserve">Housing for the </w:t>
      </w:r>
      <w:r w:rsidR="004F4EAD">
        <w:rPr>
          <w:szCs w:val="24"/>
        </w:rPr>
        <w:t xml:space="preserve">Elderly </w:t>
      </w:r>
      <w:r w:rsidR="0037724B">
        <w:rPr>
          <w:szCs w:val="24"/>
        </w:rPr>
        <w:t xml:space="preserve">Declaration of Restrictive Covenants and </w:t>
      </w:r>
      <w:r w:rsidR="004F4EAD" w:rsidRPr="00077064">
        <w:rPr>
          <w:szCs w:val="24"/>
        </w:rPr>
        <w:t>Use Agreement</w:t>
      </w:r>
      <w:r w:rsidR="0037724B">
        <w:rPr>
          <w:szCs w:val="24"/>
        </w:rPr>
        <w:t xml:space="preserve"> (Elderly Housing Use Agreement)</w:t>
      </w:r>
      <w:r w:rsidR="004F4EAD">
        <w:rPr>
          <w:szCs w:val="24"/>
        </w:rPr>
        <w:t xml:space="preserve">, which will be recorded as a </w:t>
      </w:r>
      <w:r w:rsidR="00546060">
        <w:rPr>
          <w:szCs w:val="24"/>
        </w:rPr>
        <w:t>restrictive covenant in first position</w:t>
      </w:r>
      <w:r w:rsidR="004F4EAD">
        <w:rPr>
          <w:szCs w:val="24"/>
        </w:rPr>
        <w:t xml:space="preserve"> on the Covered Project</w:t>
      </w:r>
      <w:r w:rsidR="00AD131C">
        <w:rPr>
          <w:szCs w:val="24"/>
        </w:rPr>
        <w:t>.</w:t>
      </w:r>
      <w:bookmarkEnd w:id="44"/>
      <w:r w:rsidR="00AD131C">
        <w:rPr>
          <w:szCs w:val="24"/>
        </w:rPr>
        <w:t xml:space="preserve"> </w:t>
      </w:r>
      <w:r w:rsidR="004F4EAD">
        <w:rPr>
          <w:szCs w:val="24"/>
        </w:rPr>
        <w:t>The Elderly Housing Use Agreement</w:t>
      </w:r>
      <w:r w:rsidR="00CC6247">
        <w:rPr>
          <w:szCs w:val="24"/>
        </w:rPr>
        <w:t>,</w:t>
      </w:r>
      <w:r w:rsidR="004F4EAD">
        <w:rPr>
          <w:szCs w:val="24"/>
        </w:rPr>
        <w:t xml:space="preserve"> </w:t>
      </w:r>
      <w:r w:rsidR="000C168B">
        <w:rPr>
          <w:szCs w:val="24"/>
        </w:rPr>
        <w:t xml:space="preserve">described in more detail in Section 4.4.I, </w:t>
      </w:r>
      <w:r w:rsidR="004F4EAD">
        <w:rPr>
          <w:szCs w:val="24"/>
        </w:rPr>
        <w:t xml:space="preserve">will restate any PRAC obligations </w:t>
      </w:r>
      <w:r w:rsidR="00EF7D18">
        <w:rPr>
          <w:szCs w:val="24"/>
        </w:rPr>
        <w:t xml:space="preserve">that </w:t>
      </w:r>
      <w:r w:rsidR="004F4EAD">
        <w:rPr>
          <w:szCs w:val="24"/>
        </w:rPr>
        <w:t>survive the conversion</w:t>
      </w:r>
      <w:r w:rsidR="00AD131C">
        <w:rPr>
          <w:szCs w:val="24"/>
        </w:rPr>
        <w:t xml:space="preserve">. </w:t>
      </w:r>
      <w:r w:rsidR="00B017D8">
        <w:rPr>
          <w:szCs w:val="24"/>
        </w:rPr>
        <w:t xml:space="preserve">The Elderly Housing Use </w:t>
      </w:r>
      <w:r w:rsidR="00B017D8" w:rsidRPr="00D7696E">
        <w:rPr>
          <w:szCs w:val="24"/>
        </w:rPr>
        <w:t>Agreement will have a term of 20 years plus the balance of the term left on</w:t>
      </w:r>
      <w:r w:rsidR="00B017D8">
        <w:rPr>
          <w:szCs w:val="24"/>
        </w:rPr>
        <w:t xml:space="preserve"> the Capital Advance Program Use Agreement at the time of conversion</w:t>
      </w:r>
      <w:r w:rsidR="00AD131C">
        <w:rPr>
          <w:szCs w:val="24"/>
        </w:rPr>
        <w:t xml:space="preserve">. </w:t>
      </w:r>
      <w:r w:rsidR="004F4EAD">
        <w:rPr>
          <w:szCs w:val="24"/>
        </w:rPr>
        <w:t xml:space="preserve">Any PRAC documents </w:t>
      </w:r>
      <w:r w:rsidR="00F11F3E">
        <w:rPr>
          <w:szCs w:val="24"/>
        </w:rPr>
        <w:t xml:space="preserve">still in effect </w:t>
      </w:r>
      <w:r w:rsidR="004F4EAD">
        <w:rPr>
          <w:szCs w:val="24"/>
        </w:rPr>
        <w:t xml:space="preserve">at the time of conversion </w:t>
      </w:r>
      <w:r w:rsidR="00F11F3E">
        <w:rPr>
          <w:szCs w:val="24"/>
        </w:rPr>
        <w:t xml:space="preserve">will be terminated </w:t>
      </w:r>
      <w:r w:rsidR="00C13D75">
        <w:rPr>
          <w:szCs w:val="24"/>
        </w:rPr>
        <w:t>immediately prior to</w:t>
      </w:r>
      <w:r w:rsidR="004F4EAD">
        <w:rPr>
          <w:szCs w:val="24"/>
        </w:rPr>
        <w:t xml:space="preserve"> execution of </w:t>
      </w:r>
      <w:r w:rsidR="00672D7C">
        <w:rPr>
          <w:szCs w:val="24"/>
        </w:rPr>
        <w:t xml:space="preserve">a new PBV or PBRA </w:t>
      </w:r>
      <w:r w:rsidR="00D85931">
        <w:rPr>
          <w:szCs w:val="24"/>
        </w:rPr>
        <w:t>HAP Contract</w:t>
      </w:r>
      <w:r w:rsidR="00672D7C">
        <w:rPr>
          <w:szCs w:val="24"/>
        </w:rPr>
        <w:t xml:space="preserve"> and </w:t>
      </w:r>
      <w:r w:rsidR="004F4EAD">
        <w:rPr>
          <w:szCs w:val="24"/>
        </w:rPr>
        <w:t>the Elderly Housing Use Agreement.</w:t>
      </w:r>
    </w:p>
    <w:p w14:paraId="7F57C496" w14:textId="77777777" w:rsidR="002C2A82" w:rsidRPr="00077064" w:rsidRDefault="002C2A82" w:rsidP="00A14DCD">
      <w:pPr>
        <w:spacing w:after="12"/>
        <w:rPr>
          <w:szCs w:val="24"/>
        </w:rPr>
      </w:pPr>
    </w:p>
    <w:p w14:paraId="7F57C497" w14:textId="16DFD462" w:rsidR="00B017D8" w:rsidRDefault="00A14DCD" w:rsidP="00794828">
      <w:pPr>
        <w:numPr>
          <w:ilvl w:val="0"/>
          <w:numId w:val="12"/>
        </w:numPr>
        <w:spacing w:after="12"/>
        <w:rPr>
          <w:szCs w:val="24"/>
        </w:rPr>
      </w:pPr>
      <w:r w:rsidRPr="00077064">
        <w:rPr>
          <w:b/>
          <w:szCs w:val="24"/>
        </w:rPr>
        <w:t>PBV Conversions.</w:t>
      </w:r>
      <w:r w:rsidRPr="00077064">
        <w:rPr>
          <w:szCs w:val="24"/>
        </w:rPr>
        <w:t xml:space="preserve"> </w:t>
      </w:r>
      <w:r w:rsidR="009A75B8">
        <w:rPr>
          <w:szCs w:val="24"/>
        </w:rPr>
        <w:t>If the</w:t>
      </w:r>
      <w:r w:rsidRPr="00077064">
        <w:rPr>
          <w:szCs w:val="24"/>
        </w:rPr>
        <w:t xml:space="preserve"> </w:t>
      </w:r>
      <w:r w:rsidR="000078CE">
        <w:rPr>
          <w:szCs w:val="24"/>
        </w:rPr>
        <w:t>Project O</w:t>
      </w:r>
      <w:r w:rsidR="00CA79EC">
        <w:rPr>
          <w:szCs w:val="24"/>
        </w:rPr>
        <w:t>wner</w:t>
      </w:r>
      <w:r w:rsidRPr="00077064">
        <w:rPr>
          <w:szCs w:val="24"/>
        </w:rPr>
        <w:t xml:space="preserve"> request</w:t>
      </w:r>
      <w:r w:rsidR="009A75B8">
        <w:rPr>
          <w:szCs w:val="24"/>
        </w:rPr>
        <w:t>s</w:t>
      </w:r>
      <w:r w:rsidRPr="00077064">
        <w:rPr>
          <w:szCs w:val="24"/>
        </w:rPr>
        <w:t xml:space="preserve"> to enter into a Section 8 PBV HAP Contract</w:t>
      </w:r>
      <w:r w:rsidR="009A75B8">
        <w:rPr>
          <w:szCs w:val="24"/>
        </w:rPr>
        <w:t xml:space="preserve">, </w:t>
      </w:r>
      <w:r w:rsidR="009A75B8" w:rsidRPr="00077064">
        <w:rPr>
          <w:szCs w:val="24"/>
        </w:rPr>
        <w:t>HUD</w:t>
      </w:r>
      <w:r w:rsidR="009A75B8">
        <w:rPr>
          <w:szCs w:val="24"/>
        </w:rPr>
        <w:t xml:space="preserve"> will</w:t>
      </w:r>
      <w:r w:rsidR="009A75B8" w:rsidRPr="00077064">
        <w:rPr>
          <w:szCs w:val="24"/>
        </w:rPr>
        <w:t xml:space="preserve"> make a reasonable effort to find </w:t>
      </w:r>
      <w:r w:rsidRPr="00077064">
        <w:rPr>
          <w:szCs w:val="24"/>
        </w:rPr>
        <w:t xml:space="preserve">an eligible </w:t>
      </w:r>
      <w:r w:rsidR="00112B46">
        <w:rPr>
          <w:szCs w:val="24"/>
        </w:rPr>
        <w:t xml:space="preserve">PHA with a Housing Choice </w:t>
      </w:r>
      <w:r w:rsidR="009A75B8">
        <w:rPr>
          <w:szCs w:val="24"/>
        </w:rPr>
        <w:t xml:space="preserve">Voucher </w:t>
      </w:r>
      <w:r w:rsidR="00112B46">
        <w:rPr>
          <w:szCs w:val="24"/>
        </w:rPr>
        <w:t>Program and</w:t>
      </w:r>
      <w:r w:rsidR="009A75B8">
        <w:rPr>
          <w:szCs w:val="24"/>
        </w:rPr>
        <w:t xml:space="preserve"> </w:t>
      </w:r>
      <w:r w:rsidR="00C83873" w:rsidRPr="00077064">
        <w:rPr>
          <w:szCs w:val="24"/>
        </w:rPr>
        <w:t>with operational jurisdiction</w:t>
      </w:r>
      <w:r w:rsidR="009A75B8">
        <w:rPr>
          <w:szCs w:val="24"/>
        </w:rPr>
        <w:t>,</w:t>
      </w:r>
      <w:r w:rsidR="00C83873">
        <w:rPr>
          <w:szCs w:val="24"/>
        </w:rPr>
        <w:t xml:space="preserve"> that is </w:t>
      </w:r>
      <w:r w:rsidR="00C83873" w:rsidRPr="00077064">
        <w:rPr>
          <w:szCs w:val="24"/>
        </w:rPr>
        <w:t xml:space="preserve">willing to enter into </w:t>
      </w:r>
      <w:r w:rsidR="00112B46">
        <w:rPr>
          <w:szCs w:val="24"/>
        </w:rPr>
        <w:t>and administer the</w:t>
      </w:r>
      <w:r w:rsidR="00C83873" w:rsidRPr="00077064">
        <w:rPr>
          <w:szCs w:val="24"/>
        </w:rPr>
        <w:t xml:space="preserve"> PBV </w:t>
      </w:r>
      <w:r w:rsidR="00B017D8">
        <w:rPr>
          <w:szCs w:val="24"/>
        </w:rPr>
        <w:t>HAP C</w:t>
      </w:r>
      <w:r w:rsidR="00C83873" w:rsidRPr="00077064">
        <w:rPr>
          <w:szCs w:val="24"/>
        </w:rPr>
        <w:t xml:space="preserve">ontract with the </w:t>
      </w:r>
      <w:r w:rsidR="000078CE">
        <w:rPr>
          <w:szCs w:val="24"/>
        </w:rPr>
        <w:t xml:space="preserve">Project </w:t>
      </w:r>
      <w:r w:rsidR="00CA79EC">
        <w:rPr>
          <w:szCs w:val="24"/>
        </w:rPr>
        <w:t>Owner</w:t>
      </w:r>
      <w:r w:rsidR="00C83873" w:rsidRPr="00077064">
        <w:rPr>
          <w:szCs w:val="24"/>
        </w:rPr>
        <w:t>.</w:t>
      </w:r>
      <w:r w:rsidR="00C83873">
        <w:rPr>
          <w:szCs w:val="24"/>
        </w:rPr>
        <w:t xml:space="preserve"> </w:t>
      </w:r>
      <w:r w:rsidR="0070456B" w:rsidRPr="00B06AF7">
        <w:t xml:space="preserve">After HUD determines that the requirements of this Notice have been satisfied, the </w:t>
      </w:r>
      <w:r w:rsidR="000078CE">
        <w:t xml:space="preserve">Project </w:t>
      </w:r>
      <w:r w:rsidR="00CA79EC">
        <w:t>Owner</w:t>
      </w:r>
      <w:r w:rsidR="0070456B" w:rsidRPr="00B06AF7">
        <w:t xml:space="preserve"> and the PHA will execute </w:t>
      </w:r>
      <w:r w:rsidR="0070456B" w:rsidRPr="00B06AF7">
        <w:lastRenderedPageBreak/>
        <w:t xml:space="preserve">the </w:t>
      </w:r>
      <w:r w:rsidR="00D85931">
        <w:t>HAP Contract</w:t>
      </w:r>
      <w:r w:rsidR="0070456B" w:rsidRPr="00B06AF7">
        <w:t xml:space="preserve"> to finalize the conversion.</w:t>
      </w:r>
      <w:r w:rsidR="00B017D8" w:rsidRPr="00B06AF7">
        <w:rPr>
          <w:szCs w:val="24"/>
        </w:rPr>
        <w:t xml:space="preserve"> The </w:t>
      </w:r>
      <w:r w:rsidR="00BF42C4" w:rsidRPr="00B06AF7">
        <w:rPr>
          <w:szCs w:val="24"/>
        </w:rPr>
        <w:t>PHA</w:t>
      </w:r>
      <w:r w:rsidR="007B4D28" w:rsidRPr="00B06AF7">
        <w:rPr>
          <w:szCs w:val="24"/>
        </w:rPr>
        <w:t xml:space="preserve"> </w:t>
      </w:r>
      <w:r w:rsidR="00B017D8" w:rsidRPr="00B06AF7">
        <w:rPr>
          <w:szCs w:val="24"/>
        </w:rPr>
        <w:t>that has agreed</w:t>
      </w:r>
      <w:r w:rsidR="00B017D8" w:rsidRPr="00B017D8">
        <w:rPr>
          <w:szCs w:val="24"/>
        </w:rPr>
        <w:t xml:space="preserve"> to administer the PBV HAP Contract will have the </w:t>
      </w:r>
      <w:r w:rsidR="00CC6247">
        <w:rPr>
          <w:szCs w:val="24"/>
        </w:rPr>
        <w:t xml:space="preserve">resulting </w:t>
      </w:r>
      <w:r w:rsidR="00B017D8" w:rsidRPr="00B017D8">
        <w:rPr>
          <w:szCs w:val="24"/>
        </w:rPr>
        <w:t>voucher</w:t>
      </w:r>
      <w:r w:rsidR="000C168B">
        <w:rPr>
          <w:szCs w:val="24"/>
        </w:rPr>
        <w:t xml:space="preserve"> budget authority</w:t>
      </w:r>
      <w:r w:rsidR="00B017D8" w:rsidRPr="00B017D8">
        <w:rPr>
          <w:szCs w:val="24"/>
        </w:rPr>
        <w:t xml:space="preserve"> added to its Annual Contributions Contract (ACC). </w:t>
      </w:r>
      <w:r w:rsidR="00825870">
        <w:rPr>
          <w:szCs w:val="24"/>
        </w:rPr>
        <w:t xml:space="preserve">Contract rents will be established </w:t>
      </w:r>
      <w:r w:rsidR="009A75B8">
        <w:rPr>
          <w:szCs w:val="24"/>
        </w:rPr>
        <w:t xml:space="preserve">and adjusted </w:t>
      </w:r>
      <w:r w:rsidR="00825870">
        <w:rPr>
          <w:szCs w:val="24"/>
        </w:rPr>
        <w:t>according to the terms described in this Notic</w:t>
      </w:r>
      <w:r w:rsidR="00B017D8">
        <w:rPr>
          <w:szCs w:val="24"/>
        </w:rPr>
        <w:t>e</w:t>
      </w:r>
      <w:r w:rsidR="00825870">
        <w:rPr>
          <w:szCs w:val="24"/>
        </w:rPr>
        <w:t xml:space="preserve">. </w:t>
      </w:r>
      <w:r w:rsidR="00825870" w:rsidRPr="00077064">
        <w:rPr>
          <w:szCs w:val="24"/>
        </w:rPr>
        <w:t xml:space="preserve">The initial contract </w:t>
      </w:r>
      <w:r w:rsidR="00BF42C4">
        <w:rPr>
          <w:szCs w:val="24"/>
        </w:rPr>
        <w:t>must</w:t>
      </w:r>
      <w:r w:rsidR="00825870" w:rsidRPr="00077064">
        <w:rPr>
          <w:szCs w:val="24"/>
        </w:rPr>
        <w:t xml:space="preserve"> be for a </w:t>
      </w:r>
      <w:r w:rsidR="00BF42C4">
        <w:rPr>
          <w:szCs w:val="24"/>
        </w:rPr>
        <w:t>term</w:t>
      </w:r>
      <w:r w:rsidR="00BF42C4" w:rsidRPr="00077064">
        <w:rPr>
          <w:szCs w:val="24"/>
        </w:rPr>
        <w:t xml:space="preserve"> </w:t>
      </w:r>
      <w:r w:rsidR="00825870" w:rsidRPr="00077064">
        <w:rPr>
          <w:szCs w:val="24"/>
        </w:rPr>
        <w:t xml:space="preserve">of 20 years </w:t>
      </w:r>
      <w:r w:rsidR="00BF42C4">
        <w:rPr>
          <w:szCs w:val="24"/>
        </w:rPr>
        <w:t>(i.e.</w:t>
      </w:r>
      <w:r w:rsidR="002A2F78">
        <w:rPr>
          <w:szCs w:val="24"/>
        </w:rPr>
        <w:t>, the maximum allowable initial term under section 8(o)(13)(F) of the Act)</w:t>
      </w:r>
      <w:r w:rsidR="0043258D">
        <w:rPr>
          <w:szCs w:val="24"/>
        </w:rPr>
        <w:t xml:space="preserve">. </w:t>
      </w:r>
      <w:r w:rsidR="000812DC">
        <w:rPr>
          <w:szCs w:val="24"/>
        </w:rPr>
        <w:t xml:space="preserve">Mandatory contract extensions of the initial term are governed by section 4.5.B. of this Notice. </w:t>
      </w:r>
      <w:r w:rsidR="007B4D28">
        <w:rPr>
          <w:szCs w:val="24"/>
        </w:rPr>
        <w:t>Unless specifically identified</w:t>
      </w:r>
      <w:r w:rsidRPr="00077064">
        <w:rPr>
          <w:szCs w:val="24"/>
        </w:rPr>
        <w:t xml:space="preserve"> in this Notice</w:t>
      </w:r>
      <w:r w:rsidR="00A25539">
        <w:rPr>
          <w:szCs w:val="24"/>
        </w:rPr>
        <w:t>,</w:t>
      </w:r>
      <w:r w:rsidRPr="00077064">
        <w:rPr>
          <w:szCs w:val="24"/>
        </w:rPr>
        <w:t xml:space="preserve"> all regulatory and statutory requirements of the PBV program in 24 CFR </w:t>
      </w:r>
      <w:r w:rsidR="002D5627">
        <w:rPr>
          <w:szCs w:val="24"/>
        </w:rPr>
        <w:t>p</w:t>
      </w:r>
      <w:r w:rsidRPr="00077064">
        <w:rPr>
          <w:szCs w:val="24"/>
        </w:rPr>
        <w:t xml:space="preserve">art 983, and applicable standing and subsequent Office of Public and Indian Housing guidance, including related </w:t>
      </w:r>
      <w:r w:rsidR="00863EC4">
        <w:rPr>
          <w:szCs w:val="24"/>
        </w:rPr>
        <w:t xml:space="preserve">notices and </w:t>
      </w:r>
      <w:r w:rsidRPr="00077064">
        <w:rPr>
          <w:szCs w:val="24"/>
        </w:rPr>
        <w:t>handbooks, shall apply.</w:t>
      </w:r>
      <w:bookmarkStart w:id="45" w:name="_Hlk517346310"/>
    </w:p>
    <w:bookmarkEnd w:id="45"/>
    <w:p w14:paraId="7F57C498" w14:textId="77777777" w:rsidR="00A14DCD" w:rsidRPr="00077064" w:rsidRDefault="00A14DCD" w:rsidP="00E63062">
      <w:pPr>
        <w:spacing w:after="12"/>
        <w:contextualSpacing/>
        <w:rPr>
          <w:szCs w:val="24"/>
        </w:rPr>
      </w:pPr>
    </w:p>
    <w:p w14:paraId="7F57C499" w14:textId="23E38281" w:rsidR="00A14DCD" w:rsidRPr="000C363A" w:rsidRDefault="00A14DCD" w:rsidP="00794828">
      <w:pPr>
        <w:numPr>
          <w:ilvl w:val="0"/>
          <w:numId w:val="12"/>
        </w:numPr>
        <w:spacing w:after="12"/>
        <w:rPr>
          <w:szCs w:val="24"/>
        </w:rPr>
      </w:pPr>
      <w:r w:rsidRPr="00077064">
        <w:rPr>
          <w:b/>
          <w:szCs w:val="24"/>
        </w:rPr>
        <w:t>PBRA Conversions.</w:t>
      </w:r>
      <w:r w:rsidRPr="00077064">
        <w:rPr>
          <w:szCs w:val="24"/>
        </w:rPr>
        <w:t xml:space="preserve"> </w:t>
      </w:r>
      <w:r w:rsidR="007F43B3">
        <w:rPr>
          <w:szCs w:val="24"/>
        </w:rPr>
        <w:t>If a</w:t>
      </w:r>
      <w:r w:rsidRPr="00077064">
        <w:rPr>
          <w:szCs w:val="24"/>
        </w:rPr>
        <w:t xml:space="preserve"> </w:t>
      </w:r>
      <w:r w:rsidR="000078CE">
        <w:rPr>
          <w:szCs w:val="24"/>
        </w:rPr>
        <w:t>Project Owner</w:t>
      </w:r>
      <w:r w:rsidRPr="00077064">
        <w:rPr>
          <w:szCs w:val="24"/>
        </w:rPr>
        <w:t xml:space="preserve"> request</w:t>
      </w:r>
      <w:r w:rsidR="007F43B3">
        <w:rPr>
          <w:szCs w:val="24"/>
        </w:rPr>
        <w:t>s</w:t>
      </w:r>
      <w:r w:rsidRPr="00077064">
        <w:rPr>
          <w:szCs w:val="24"/>
        </w:rPr>
        <w:t xml:space="preserve"> to enter into a Section 8 PBRA HAP Contract (subject to annual appropriatio</w:t>
      </w:r>
      <w:r w:rsidR="00AD131C">
        <w:rPr>
          <w:szCs w:val="24"/>
        </w:rPr>
        <w:t>ns)</w:t>
      </w:r>
      <w:r w:rsidR="00CC6247">
        <w:rPr>
          <w:szCs w:val="24"/>
        </w:rPr>
        <w:t>,</w:t>
      </w:r>
      <w:r w:rsidRPr="00077064">
        <w:rPr>
          <w:szCs w:val="24"/>
        </w:rPr>
        <w:t xml:space="preserve"> the HAP Contract will be executed by HUD’s Office of </w:t>
      </w:r>
      <w:r w:rsidRPr="00B06AF7">
        <w:rPr>
          <w:szCs w:val="24"/>
        </w:rPr>
        <w:t xml:space="preserve">Housing. </w:t>
      </w:r>
      <w:bookmarkStart w:id="46" w:name="_Hlk527451509"/>
      <w:r w:rsidR="0070456B" w:rsidRPr="00B06AF7">
        <w:t xml:space="preserve">After HUD determines that the requirements of this Notice have been satisfied, the </w:t>
      </w:r>
      <w:r w:rsidR="000078CE">
        <w:t>Project Owner</w:t>
      </w:r>
      <w:r w:rsidR="0070456B" w:rsidRPr="00B06AF7">
        <w:t xml:space="preserve"> and </w:t>
      </w:r>
      <w:r w:rsidR="00B06AF7" w:rsidRPr="00B06AF7">
        <w:t>HUD</w:t>
      </w:r>
      <w:r w:rsidR="0070456B" w:rsidRPr="00B06AF7">
        <w:t xml:space="preserve"> will execute the </w:t>
      </w:r>
      <w:r w:rsidR="00D85931">
        <w:t>HAP Contract</w:t>
      </w:r>
      <w:r w:rsidR="0070456B" w:rsidRPr="00B06AF7">
        <w:t xml:space="preserve"> to finalize the conversion.</w:t>
      </w:r>
      <w:bookmarkEnd w:id="46"/>
      <w:r w:rsidR="0070456B" w:rsidRPr="00B06AF7">
        <w:t xml:space="preserve"> </w:t>
      </w:r>
      <w:r w:rsidR="00C75A75" w:rsidRPr="00B06AF7">
        <w:rPr>
          <w:szCs w:val="24"/>
        </w:rPr>
        <w:t>Contract</w:t>
      </w:r>
      <w:r w:rsidR="00C75A75">
        <w:rPr>
          <w:szCs w:val="24"/>
        </w:rPr>
        <w:t xml:space="preserve"> rents will be established and adjusted according to the terms described in this Notice. </w:t>
      </w:r>
      <w:r w:rsidR="006A5B76" w:rsidRPr="00BF5A70">
        <w:rPr>
          <w:szCs w:val="24"/>
        </w:rPr>
        <w:t>The</w:t>
      </w:r>
      <w:r w:rsidR="006A5B76" w:rsidRPr="00077064">
        <w:rPr>
          <w:szCs w:val="24"/>
        </w:rPr>
        <w:t xml:space="preserve"> initial contract </w:t>
      </w:r>
      <w:r w:rsidR="000C168B">
        <w:rPr>
          <w:szCs w:val="24"/>
        </w:rPr>
        <w:t>must</w:t>
      </w:r>
      <w:r w:rsidR="006A5B76" w:rsidRPr="00077064">
        <w:rPr>
          <w:szCs w:val="24"/>
        </w:rPr>
        <w:t xml:space="preserve"> be for a period of 20 years and will be subject to annual appropriations. </w:t>
      </w:r>
      <w:r w:rsidR="00C75A75">
        <w:rPr>
          <w:szCs w:val="24"/>
        </w:rPr>
        <w:t>At expiration, t</w:t>
      </w:r>
      <w:r w:rsidR="006A5B76" w:rsidRPr="00077064">
        <w:rPr>
          <w:szCs w:val="24"/>
        </w:rPr>
        <w:t>he initial contract shall be eligible for renewal under the Multifamily Assisted Housing Reform and Affordability Act of 1997 (MAHRAA).</w:t>
      </w:r>
      <w:r w:rsidR="00153847">
        <w:rPr>
          <w:szCs w:val="24"/>
        </w:rPr>
        <w:t xml:space="preserve"> Mandatory contract </w:t>
      </w:r>
      <w:r w:rsidR="00B15DD8">
        <w:rPr>
          <w:szCs w:val="24"/>
        </w:rPr>
        <w:t>renewals</w:t>
      </w:r>
      <w:r w:rsidR="00153847">
        <w:rPr>
          <w:szCs w:val="24"/>
        </w:rPr>
        <w:t xml:space="preserve"> are governed by section 4.6.B. of this Notice. </w:t>
      </w:r>
      <w:r w:rsidR="006A5B76" w:rsidRPr="00077064">
        <w:rPr>
          <w:szCs w:val="24"/>
        </w:rPr>
        <w:t xml:space="preserve"> </w:t>
      </w:r>
      <w:r w:rsidR="005B7BE7">
        <w:rPr>
          <w:szCs w:val="24"/>
        </w:rPr>
        <w:t xml:space="preserve">The Covered </w:t>
      </w:r>
      <w:r w:rsidR="005B7BE7" w:rsidRPr="000C363A">
        <w:rPr>
          <w:szCs w:val="24"/>
        </w:rPr>
        <w:t xml:space="preserve">Project </w:t>
      </w:r>
      <w:r w:rsidR="005B7BE7" w:rsidRPr="000C363A">
        <w:t>shall be governed by 24 CFR part 880, as modified and as published in Appendix I of this Notice, as well as by applicable standing and subsequent Office of Housing guidance, including notices and handbooks</w:t>
      </w:r>
      <w:r w:rsidRPr="000C363A">
        <w:rPr>
          <w:szCs w:val="24"/>
        </w:rPr>
        <w:t xml:space="preserve">. </w:t>
      </w:r>
    </w:p>
    <w:p w14:paraId="7F57C49A" w14:textId="77777777" w:rsidR="00A14DCD" w:rsidRPr="00077064" w:rsidRDefault="00B35920" w:rsidP="00A14DCD">
      <w:pPr>
        <w:keepNext/>
        <w:keepLines/>
        <w:numPr>
          <w:ilvl w:val="1"/>
          <w:numId w:val="0"/>
        </w:numPr>
        <w:spacing w:before="320" w:after="120" w:line="360" w:lineRule="auto"/>
        <w:ind w:left="1422" w:hanging="432"/>
        <w:outlineLvl w:val="1"/>
        <w:rPr>
          <w:rFonts w:eastAsia="Times New Roman"/>
          <w:szCs w:val="24"/>
          <w:u w:val="single"/>
        </w:rPr>
      </w:pPr>
      <w:bookmarkStart w:id="47" w:name="_Toc421888918"/>
      <w:r w:rsidRPr="003A0444">
        <w:rPr>
          <w:rFonts w:eastAsia="Times New Roman"/>
          <w:bCs/>
          <w:szCs w:val="24"/>
        </w:rPr>
        <w:t>4</w:t>
      </w:r>
      <w:r w:rsidR="00A14DCD" w:rsidRPr="003A0444">
        <w:rPr>
          <w:rFonts w:eastAsia="Times New Roman"/>
          <w:bCs/>
          <w:szCs w:val="24"/>
        </w:rPr>
        <w:t xml:space="preserve">.3 </w:t>
      </w:r>
      <w:r w:rsidR="00A14DCD" w:rsidRPr="00077064">
        <w:rPr>
          <w:rFonts w:eastAsia="Times New Roman"/>
          <w:b/>
          <w:bCs/>
          <w:szCs w:val="24"/>
          <w:u w:val="single"/>
        </w:rPr>
        <w:t>Eligibility</w:t>
      </w:r>
      <w:bookmarkEnd w:id="47"/>
    </w:p>
    <w:p w14:paraId="7F57C49B" w14:textId="0A79331E" w:rsidR="00A14DCD" w:rsidRPr="00077064" w:rsidRDefault="00CA79EC" w:rsidP="00A14DCD">
      <w:pPr>
        <w:spacing w:after="12"/>
        <w:rPr>
          <w:szCs w:val="24"/>
        </w:rPr>
      </w:pPr>
      <w:r>
        <w:rPr>
          <w:szCs w:val="24"/>
        </w:rPr>
        <w:t>Owner</w:t>
      </w:r>
      <w:r w:rsidR="00A14DCD" w:rsidRPr="00077064">
        <w:rPr>
          <w:szCs w:val="24"/>
        </w:rPr>
        <w:t xml:space="preserve">s of </w:t>
      </w:r>
      <w:r w:rsidR="000812DC">
        <w:rPr>
          <w:szCs w:val="24"/>
        </w:rPr>
        <w:t xml:space="preserve">202 </w:t>
      </w:r>
      <w:r w:rsidR="00165BDC">
        <w:rPr>
          <w:szCs w:val="24"/>
        </w:rPr>
        <w:t>PRAC</w:t>
      </w:r>
      <w:r w:rsidR="00A14DCD" w:rsidRPr="00077064">
        <w:rPr>
          <w:szCs w:val="24"/>
        </w:rPr>
        <w:t xml:space="preserve"> </w:t>
      </w:r>
      <w:r w:rsidR="000812DC">
        <w:rPr>
          <w:szCs w:val="24"/>
        </w:rPr>
        <w:t>P</w:t>
      </w:r>
      <w:r w:rsidR="00A14DCD" w:rsidRPr="00077064">
        <w:rPr>
          <w:szCs w:val="24"/>
        </w:rPr>
        <w:t xml:space="preserve">rojects that meet all eligibility requirements described below may </w:t>
      </w:r>
      <w:r w:rsidR="00021E63">
        <w:rPr>
          <w:szCs w:val="24"/>
        </w:rPr>
        <w:t>request</w:t>
      </w:r>
      <w:r w:rsidR="00A14DCD" w:rsidRPr="00077064">
        <w:rPr>
          <w:szCs w:val="24"/>
        </w:rPr>
        <w:t xml:space="preserve"> to convert assistance under the Second Component of RAD.</w:t>
      </w:r>
    </w:p>
    <w:p w14:paraId="7F57C49C" w14:textId="5E174624" w:rsidR="00A14DCD" w:rsidRPr="00077064" w:rsidRDefault="00B35920" w:rsidP="00A14DCD">
      <w:pPr>
        <w:keepNext/>
        <w:keepLines/>
        <w:numPr>
          <w:ilvl w:val="1"/>
          <w:numId w:val="0"/>
        </w:numPr>
        <w:tabs>
          <w:tab w:val="left" w:pos="1800"/>
        </w:tabs>
        <w:spacing w:before="320" w:after="120" w:line="360" w:lineRule="auto"/>
        <w:ind w:left="2160" w:hanging="702"/>
        <w:outlineLvl w:val="1"/>
        <w:rPr>
          <w:bCs/>
          <w:szCs w:val="24"/>
          <w:u w:val="single"/>
        </w:rPr>
      </w:pPr>
      <w:bookmarkStart w:id="48" w:name="_Toc421888919"/>
      <w:r w:rsidRPr="003A0444">
        <w:rPr>
          <w:bCs/>
          <w:szCs w:val="24"/>
        </w:rPr>
        <w:t>4</w:t>
      </w:r>
      <w:r w:rsidR="00A14DCD" w:rsidRPr="003A0444">
        <w:rPr>
          <w:bCs/>
          <w:szCs w:val="24"/>
        </w:rPr>
        <w:t xml:space="preserve">.3.1 </w:t>
      </w:r>
      <w:r w:rsidR="00A14DCD" w:rsidRPr="00077064">
        <w:rPr>
          <w:b/>
          <w:bCs/>
          <w:szCs w:val="24"/>
          <w:u w:val="single"/>
        </w:rPr>
        <w:t xml:space="preserve">Eligible </w:t>
      </w:r>
      <w:r w:rsidR="00CA79EC">
        <w:rPr>
          <w:b/>
          <w:bCs/>
          <w:szCs w:val="24"/>
          <w:u w:val="single"/>
        </w:rPr>
        <w:t>Owner</w:t>
      </w:r>
      <w:r w:rsidR="00A14DCD" w:rsidRPr="00077064">
        <w:rPr>
          <w:b/>
          <w:bCs/>
          <w:szCs w:val="24"/>
          <w:u w:val="single"/>
        </w:rPr>
        <w:t>s</w:t>
      </w:r>
      <w:bookmarkEnd w:id="48"/>
    </w:p>
    <w:p w14:paraId="0C084B87" w14:textId="423BB75D" w:rsidR="00BB33E7" w:rsidRPr="00F95447" w:rsidRDefault="00A14DCD" w:rsidP="00794828">
      <w:pPr>
        <w:numPr>
          <w:ilvl w:val="0"/>
          <w:numId w:val="6"/>
        </w:numPr>
        <w:spacing w:after="12"/>
        <w:ind w:left="540"/>
        <w:rPr>
          <w:rFonts w:eastAsia="MS Mincho"/>
          <w:szCs w:val="24"/>
        </w:rPr>
      </w:pPr>
      <w:r w:rsidRPr="00077064">
        <w:rPr>
          <w:b/>
          <w:szCs w:val="24"/>
        </w:rPr>
        <w:t xml:space="preserve">Compliance with HUD </w:t>
      </w:r>
      <w:r>
        <w:rPr>
          <w:b/>
          <w:szCs w:val="24"/>
        </w:rPr>
        <w:t>Requirements</w:t>
      </w:r>
      <w:r w:rsidRPr="00077064">
        <w:rPr>
          <w:szCs w:val="24"/>
        </w:rPr>
        <w:t xml:space="preserve">. </w:t>
      </w:r>
      <w:r w:rsidR="00814224">
        <w:rPr>
          <w:szCs w:val="24"/>
        </w:rPr>
        <w:t xml:space="preserve">The </w:t>
      </w:r>
      <w:r w:rsidR="00BB33E7">
        <w:rPr>
          <w:szCs w:val="24"/>
        </w:rPr>
        <w:t xml:space="preserve">Project </w:t>
      </w:r>
      <w:r w:rsidR="00CA79EC">
        <w:rPr>
          <w:szCs w:val="24"/>
        </w:rPr>
        <w:t>Owner</w:t>
      </w:r>
      <w:r w:rsidR="000078CE">
        <w:rPr>
          <w:szCs w:val="24"/>
        </w:rPr>
        <w:t xml:space="preserve"> </w:t>
      </w:r>
      <w:r w:rsidRPr="00077064">
        <w:rPr>
          <w:szCs w:val="24"/>
        </w:rPr>
        <w:t>must be in good standing with HUD</w:t>
      </w:r>
      <w:r w:rsidR="00AD131C">
        <w:rPr>
          <w:szCs w:val="24"/>
        </w:rPr>
        <w:t xml:space="preserve">. </w:t>
      </w:r>
      <w:r w:rsidR="00814224">
        <w:rPr>
          <w:szCs w:val="24"/>
        </w:rPr>
        <w:t xml:space="preserve">If the current </w:t>
      </w:r>
      <w:r w:rsidR="000078CE">
        <w:rPr>
          <w:szCs w:val="24"/>
        </w:rPr>
        <w:t>o</w:t>
      </w:r>
      <w:r w:rsidR="00CA79EC">
        <w:rPr>
          <w:szCs w:val="24"/>
        </w:rPr>
        <w:t>wner</w:t>
      </w:r>
      <w:r w:rsidR="00814224">
        <w:rPr>
          <w:szCs w:val="24"/>
        </w:rPr>
        <w:t xml:space="preserve"> is anticipated to remain in the </w:t>
      </w:r>
      <w:r w:rsidR="0065796A">
        <w:rPr>
          <w:szCs w:val="24"/>
        </w:rPr>
        <w:t>o</w:t>
      </w:r>
      <w:r w:rsidR="00CA79EC">
        <w:rPr>
          <w:szCs w:val="24"/>
        </w:rPr>
        <w:t>wner</w:t>
      </w:r>
      <w:r w:rsidR="00814224">
        <w:rPr>
          <w:szCs w:val="24"/>
        </w:rPr>
        <w:t>ship structure, t</w:t>
      </w:r>
      <w:r w:rsidRPr="00077064">
        <w:rPr>
          <w:szCs w:val="24"/>
        </w:rPr>
        <w:t xml:space="preserve">he </w:t>
      </w:r>
      <w:r w:rsidR="000812DC">
        <w:rPr>
          <w:szCs w:val="24"/>
        </w:rPr>
        <w:t>Project O</w:t>
      </w:r>
      <w:r w:rsidR="00CA79EC">
        <w:rPr>
          <w:szCs w:val="24"/>
        </w:rPr>
        <w:t>wner</w:t>
      </w:r>
      <w:r w:rsidRPr="00077064">
        <w:rPr>
          <w:szCs w:val="24"/>
        </w:rPr>
        <w:t xml:space="preserve"> must have a history of compliance with program and contractual requirements, including maintaining units in a decent, safe, and sanitary</w:t>
      </w:r>
      <w:r w:rsidR="00BB33E7">
        <w:rPr>
          <w:szCs w:val="24"/>
        </w:rPr>
        <w:t xml:space="preserve"> </w:t>
      </w:r>
      <w:r w:rsidR="001525EF">
        <w:rPr>
          <w:szCs w:val="24"/>
        </w:rPr>
        <w:t>condition</w:t>
      </w:r>
      <w:r w:rsidRPr="00077064">
        <w:rPr>
          <w:szCs w:val="24"/>
        </w:rPr>
        <w:t>. If a proposed conversion is in the context of an acquisition</w:t>
      </w:r>
      <w:r>
        <w:rPr>
          <w:szCs w:val="24"/>
        </w:rPr>
        <w:t xml:space="preserve"> </w:t>
      </w:r>
      <w:r w:rsidR="00B35920">
        <w:rPr>
          <w:szCs w:val="24"/>
        </w:rPr>
        <w:t xml:space="preserve">simultaneous with the conversion, </w:t>
      </w:r>
      <w:bookmarkStart w:id="49" w:name="_Hlk523234859"/>
      <w:r w:rsidR="00B35920">
        <w:rPr>
          <w:szCs w:val="24"/>
        </w:rPr>
        <w:t>t</w:t>
      </w:r>
      <w:r w:rsidRPr="00077064">
        <w:rPr>
          <w:szCs w:val="24"/>
        </w:rPr>
        <w:t>he purchaser must provide evidence of successful experience owning and operating HUD or other multifamily housing properties.</w:t>
      </w:r>
      <w:r w:rsidR="000812DC">
        <w:rPr>
          <w:szCs w:val="24"/>
        </w:rPr>
        <w:t xml:space="preserve"> Any change in Ownership will require </w:t>
      </w:r>
      <w:r w:rsidR="00CC6247">
        <w:rPr>
          <w:szCs w:val="24"/>
        </w:rPr>
        <w:t>Form HUD-2</w:t>
      </w:r>
      <w:r w:rsidR="000812DC">
        <w:rPr>
          <w:szCs w:val="24"/>
        </w:rPr>
        <w:t xml:space="preserve">530 Previous Participation approval as described in Attachment 4A. </w:t>
      </w:r>
    </w:p>
    <w:bookmarkEnd w:id="49"/>
    <w:p w14:paraId="7F57C49E" w14:textId="1DA6A6BE" w:rsidR="00A14DCD" w:rsidRPr="00077064" w:rsidRDefault="00A14DCD" w:rsidP="00A14DCD">
      <w:pPr>
        <w:spacing w:after="12"/>
        <w:ind w:left="360"/>
        <w:rPr>
          <w:rFonts w:eastAsia="MS Mincho"/>
          <w:szCs w:val="24"/>
        </w:rPr>
      </w:pPr>
    </w:p>
    <w:p w14:paraId="7F57C49F" w14:textId="6DCEB935" w:rsidR="00AD131C" w:rsidRPr="00AD131C" w:rsidRDefault="00A14DCD" w:rsidP="00794828">
      <w:pPr>
        <w:numPr>
          <w:ilvl w:val="0"/>
          <w:numId w:val="6"/>
        </w:numPr>
        <w:spacing w:after="12"/>
        <w:ind w:left="540"/>
        <w:contextualSpacing/>
        <w:rPr>
          <w:rFonts w:eastAsia="MS Mincho"/>
          <w:szCs w:val="24"/>
        </w:rPr>
      </w:pPr>
      <w:r w:rsidRPr="00077064">
        <w:rPr>
          <w:rFonts w:eastAsia="MS Mincho"/>
          <w:b/>
          <w:szCs w:val="24"/>
        </w:rPr>
        <w:t xml:space="preserve">Fair Housing and Civil Rights Compliance. </w:t>
      </w:r>
      <w:r w:rsidRPr="00077064">
        <w:rPr>
          <w:rFonts w:eastAsia="MS Mincho"/>
          <w:szCs w:val="24"/>
        </w:rPr>
        <w:t>A</w:t>
      </w:r>
      <w:r w:rsidR="000078CE">
        <w:rPr>
          <w:rFonts w:eastAsia="MS Mincho"/>
          <w:szCs w:val="24"/>
        </w:rPr>
        <w:t xml:space="preserve"> Project O</w:t>
      </w:r>
      <w:r w:rsidR="00CA79EC">
        <w:rPr>
          <w:rFonts w:eastAsia="MS Mincho"/>
          <w:szCs w:val="24"/>
        </w:rPr>
        <w:t>wner</w:t>
      </w:r>
      <w:r w:rsidRPr="00077064">
        <w:rPr>
          <w:rFonts w:eastAsia="MS Mincho"/>
          <w:szCs w:val="24"/>
        </w:rPr>
        <w:t xml:space="preserve"> must </w:t>
      </w:r>
      <w:r w:rsidR="0050697A">
        <w:rPr>
          <w:rFonts w:eastAsia="MS Mincho"/>
          <w:szCs w:val="24"/>
        </w:rPr>
        <w:t>certify it will comply</w:t>
      </w:r>
      <w:r w:rsidRPr="00077064">
        <w:rPr>
          <w:rFonts w:eastAsia="MS Mincho"/>
          <w:szCs w:val="24"/>
        </w:rPr>
        <w:t xml:space="preserve"> with all fair housing and civil rights requirements </w:t>
      </w:r>
      <w:r w:rsidR="0050697A">
        <w:rPr>
          <w:rFonts w:eastAsia="MS Mincho"/>
          <w:szCs w:val="24"/>
        </w:rPr>
        <w:t xml:space="preserve">including but not limited to those </w:t>
      </w:r>
      <w:r w:rsidRPr="00077064">
        <w:rPr>
          <w:rFonts w:eastAsia="MS Mincho"/>
          <w:szCs w:val="24"/>
        </w:rPr>
        <w:t xml:space="preserve">at 24 </w:t>
      </w:r>
      <w:r w:rsidRPr="00077064">
        <w:rPr>
          <w:rFonts w:eastAsia="MS Mincho"/>
          <w:szCs w:val="24"/>
        </w:rPr>
        <w:lastRenderedPageBreak/>
        <w:t>CFR §</w:t>
      </w:r>
      <w:r w:rsidR="006357BB">
        <w:rPr>
          <w:rFonts w:eastAsia="MS Mincho"/>
          <w:szCs w:val="24"/>
        </w:rPr>
        <w:t xml:space="preserve"> </w:t>
      </w:r>
      <w:r w:rsidRPr="00077064">
        <w:rPr>
          <w:rFonts w:eastAsia="MS Mincho"/>
          <w:szCs w:val="24"/>
        </w:rPr>
        <w:t xml:space="preserve">5.105(a). </w:t>
      </w:r>
      <w:r w:rsidR="00AD131C">
        <w:t>Any o</w:t>
      </w:r>
      <w:r w:rsidR="00AD131C" w:rsidRPr="007159F1">
        <w:t xml:space="preserve">utstanding </w:t>
      </w:r>
      <w:r w:rsidR="0050697A">
        <w:t xml:space="preserve">fair housing or </w:t>
      </w:r>
      <w:r w:rsidR="00AD131C" w:rsidRPr="007159F1">
        <w:t xml:space="preserve">civil rights matters </w:t>
      </w:r>
      <w:r w:rsidR="0050697A">
        <w:t xml:space="preserve">arising prior to conversion </w:t>
      </w:r>
      <w:r w:rsidR="00AD131C" w:rsidRPr="007159F1">
        <w:t xml:space="preserve">must be resolved to HUD’s satisfaction prior to </w:t>
      </w:r>
      <w:r w:rsidR="00AD131C">
        <w:t>conversion</w:t>
      </w:r>
      <w:r w:rsidR="00AD131C" w:rsidRPr="007159F1">
        <w:t>, provided that all applicable legal processes have been satisfied</w:t>
      </w:r>
      <w:r w:rsidR="0043258D">
        <w:t xml:space="preserve">. </w:t>
      </w:r>
      <w:r w:rsidR="00AD131C" w:rsidRPr="007159F1">
        <w:t xml:space="preserve">If HUD determines a </w:t>
      </w:r>
      <w:r w:rsidR="00AD131C">
        <w:t>conversion would fail</w:t>
      </w:r>
      <w:r w:rsidR="00AD131C" w:rsidRPr="007159F1">
        <w:t xml:space="preserve"> to meet this standard, HUD will notify the </w:t>
      </w:r>
      <w:r w:rsidR="000078CE">
        <w:t>Project Owner</w:t>
      </w:r>
      <w:r w:rsidR="00AD131C" w:rsidRPr="007159F1">
        <w:t xml:space="preserve"> of its determination and any necessary actions</w:t>
      </w:r>
      <w:r w:rsidR="00AD131C">
        <w:t xml:space="preserve">. </w:t>
      </w:r>
      <w:r w:rsidR="0050697A">
        <w:t>Fair housing or civil rights matters that arise after conversion will be addressed in accordance with applicable authorities.</w:t>
      </w:r>
    </w:p>
    <w:p w14:paraId="7F57C4A0" w14:textId="77777777" w:rsidR="00AD131C" w:rsidRDefault="00AD131C" w:rsidP="00AD131C">
      <w:pPr>
        <w:pStyle w:val="ListParagraph"/>
        <w:rPr>
          <w:rFonts w:eastAsia="MS Mincho"/>
          <w:szCs w:val="24"/>
        </w:rPr>
      </w:pPr>
    </w:p>
    <w:p w14:paraId="7F57C4A1" w14:textId="3C1D2CF3" w:rsidR="00A14DCD" w:rsidRPr="00077064" w:rsidRDefault="00B35920" w:rsidP="00A14DCD">
      <w:pPr>
        <w:keepNext/>
        <w:keepLines/>
        <w:numPr>
          <w:ilvl w:val="1"/>
          <w:numId w:val="0"/>
        </w:numPr>
        <w:spacing w:before="320" w:after="120" w:line="360" w:lineRule="auto"/>
        <w:ind w:left="2160" w:hanging="720"/>
        <w:outlineLvl w:val="1"/>
        <w:rPr>
          <w:bCs/>
          <w:szCs w:val="24"/>
          <w:u w:val="single"/>
        </w:rPr>
      </w:pPr>
      <w:bookmarkStart w:id="50" w:name="_Toc421888920"/>
      <w:r w:rsidRPr="003A0444">
        <w:rPr>
          <w:bCs/>
          <w:szCs w:val="24"/>
        </w:rPr>
        <w:t>4</w:t>
      </w:r>
      <w:r w:rsidR="00A14DCD" w:rsidRPr="003A0444">
        <w:rPr>
          <w:bCs/>
          <w:szCs w:val="24"/>
        </w:rPr>
        <w:t xml:space="preserve">.3.2 </w:t>
      </w:r>
      <w:r w:rsidR="00A14DCD" w:rsidRPr="00077064">
        <w:rPr>
          <w:b/>
          <w:bCs/>
          <w:szCs w:val="24"/>
          <w:u w:val="single"/>
        </w:rPr>
        <w:t>Eligible Pro</w:t>
      </w:r>
      <w:r w:rsidR="00BB33E7">
        <w:rPr>
          <w:b/>
          <w:bCs/>
          <w:szCs w:val="24"/>
          <w:u w:val="single"/>
        </w:rPr>
        <w:t>perties</w:t>
      </w:r>
      <w:r w:rsidR="00A14DCD" w:rsidRPr="00077064">
        <w:rPr>
          <w:b/>
          <w:bCs/>
          <w:szCs w:val="24"/>
          <w:u w:val="single"/>
        </w:rPr>
        <w:t xml:space="preserve"> and Units</w:t>
      </w:r>
      <w:bookmarkEnd w:id="50"/>
    </w:p>
    <w:p w14:paraId="7F57C4A2" w14:textId="5E767E6A" w:rsidR="00A14DCD" w:rsidRPr="00077064" w:rsidRDefault="00A14DCD" w:rsidP="00794828">
      <w:pPr>
        <w:numPr>
          <w:ilvl w:val="0"/>
          <w:numId w:val="16"/>
        </w:numPr>
        <w:tabs>
          <w:tab w:val="left" w:pos="540"/>
        </w:tabs>
        <w:spacing w:after="12"/>
        <w:ind w:left="540"/>
        <w:contextualSpacing/>
        <w:rPr>
          <w:szCs w:val="24"/>
        </w:rPr>
      </w:pPr>
      <w:r w:rsidRPr="00077064">
        <w:rPr>
          <w:b/>
          <w:szCs w:val="24"/>
        </w:rPr>
        <w:t>Eligible Properties</w:t>
      </w:r>
      <w:r w:rsidR="005911C7">
        <w:rPr>
          <w:b/>
          <w:szCs w:val="24"/>
        </w:rPr>
        <w:t xml:space="preserve"> and Units</w:t>
      </w:r>
      <w:r w:rsidR="00AD131C">
        <w:rPr>
          <w:b/>
          <w:szCs w:val="24"/>
        </w:rPr>
        <w:t xml:space="preserve">. </w:t>
      </w:r>
      <w:r w:rsidRPr="00077064">
        <w:rPr>
          <w:szCs w:val="24"/>
        </w:rPr>
        <w:t xml:space="preserve">A </w:t>
      </w:r>
      <w:r w:rsidR="00BB33E7">
        <w:rPr>
          <w:szCs w:val="24"/>
        </w:rPr>
        <w:t>property</w:t>
      </w:r>
      <w:r w:rsidRPr="00077064">
        <w:rPr>
          <w:szCs w:val="24"/>
        </w:rPr>
        <w:t xml:space="preserve"> is eligible for conversion if the p</w:t>
      </w:r>
      <w:r w:rsidR="00BB33E7">
        <w:rPr>
          <w:szCs w:val="24"/>
        </w:rPr>
        <w:t>roperty</w:t>
      </w:r>
      <w:r w:rsidRPr="00077064">
        <w:rPr>
          <w:szCs w:val="24"/>
        </w:rPr>
        <w:t xml:space="preserve"> is currently receiving assistance through a </w:t>
      </w:r>
      <w:r w:rsidR="00165BDC">
        <w:rPr>
          <w:szCs w:val="24"/>
        </w:rPr>
        <w:t>PRAC</w:t>
      </w:r>
      <w:r w:rsidRPr="00077064">
        <w:rPr>
          <w:szCs w:val="24"/>
        </w:rPr>
        <w:t xml:space="preserve"> that is either in its initial or renewal term. Properties that were previously assisted under a </w:t>
      </w:r>
      <w:r w:rsidR="00165BDC">
        <w:rPr>
          <w:szCs w:val="24"/>
        </w:rPr>
        <w:t>PRAC</w:t>
      </w:r>
      <w:r w:rsidRPr="00077064">
        <w:rPr>
          <w:szCs w:val="24"/>
        </w:rPr>
        <w:t xml:space="preserve"> </w:t>
      </w:r>
      <w:r w:rsidR="0006736F">
        <w:rPr>
          <w:szCs w:val="24"/>
        </w:rPr>
        <w:t xml:space="preserve">contract which </w:t>
      </w:r>
      <w:r w:rsidRPr="00077064">
        <w:rPr>
          <w:szCs w:val="24"/>
        </w:rPr>
        <w:t xml:space="preserve">has been terminated </w:t>
      </w:r>
      <w:r w:rsidR="00C75A75">
        <w:rPr>
          <w:szCs w:val="24"/>
        </w:rPr>
        <w:t>due to noncompliance</w:t>
      </w:r>
      <w:r w:rsidRPr="00077064">
        <w:rPr>
          <w:szCs w:val="24"/>
        </w:rPr>
        <w:t xml:space="preserve"> are ineligible to participate under this Notice. </w:t>
      </w:r>
      <w:r w:rsidR="00CA00AB">
        <w:rPr>
          <w:szCs w:val="24"/>
        </w:rPr>
        <w:t xml:space="preserve">A </w:t>
      </w:r>
      <w:r w:rsidR="000078CE">
        <w:rPr>
          <w:szCs w:val="24"/>
        </w:rPr>
        <w:t>Project Owner</w:t>
      </w:r>
      <w:r w:rsidR="00CA00AB">
        <w:rPr>
          <w:szCs w:val="24"/>
        </w:rPr>
        <w:t xml:space="preserve"> may include under the subsequent Section 8</w:t>
      </w:r>
      <w:r w:rsidR="000835C5">
        <w:rPr>
          <w:szCs w:val="24"/>
        </w:rPr>
        <w:t xml:space="preserve"> </w:t>
      </w:r>
      <w:r w:rsidR="00D85931">
        <w:rPr>
          <w:szCs w:val="24"/>
        </w:rPr>
        <w:t>HAP Contract</w:t>
      </w:r>
      <w:r w:rsidR="00CA00AB">
        <w:rPr>
          <w:szCs w:val="24"/>
        </w:rPr>
        <w:t xml:space="preserve"> no more than the number of units covered under the PRAC.</w:t>
      </w:r>
    </w:p>
    <w:p w14:paraId="7F57C4A3" w14:textId="77777777" w:rsidR="00A14DCD" w:rsidRPr="00077064" w:rsidRDefault="00A14DCD" w:rsidP="00A14DCD">
      <w:pPr>
        <w:spacing w:after="12"/>
        <w:ind w:left="360"/>
        <w:rPr>
          <w:szCs w:val="24"/>
        </w:rPr>
      </w:pPr>
    </w:p>
    <w:p w14:paraId="7F57C4A4" w14:textId="67316288" w:rsidR="00A14DCD" w:rsidRPr="00427955" w:rsidRDefault="00A14DCD" w:rsidP="00794828">
      <w:pPr>
        <w:numPr>
          <w:ilvl w:val="0"/>
          <w:numId w:val="16"/>
        </w:numPr>
        <w:spacing w:after="12"/>
        <w:ind w:left="540"/>
        <w:contextualSpacing/>
        <w:rPr>
          <w:rFonts w:eastAsia="MS Mincho"/>
          <w:b/>
          <w:szCs w:val="24"/>
        </w:rPr>
      </w:pPr>
      <w:r w:rsidRPr="00427955">
        <w:rPr>
          <w:rFonts w:eastAsia="MS Mincho"/>
          <w:b/>
          <w:szCs w:val="24"/>
        </w:rPr>
        <w:t xml:space="preserve">Physical Condition. </w:t>
      </w:r>
      <w:r w:rsidRPr="00427955">
        <w:rPr>
          <w:rFonts w:eastAsia="MS Mincho"/>
          <w:szCs w:val="24"/>
        </w:rPr>
        <w:t>For PBRA conversion</w:t>
      </w:r>
      <w:r w:rsidR="00427955" w:rsidRPr="00427955">
        <w:rPr>
          <w:rFonts w:eastAsia="MS Mincho"/>
          <w:szCs w:val="24"/>
        </w:rPr>
        <w:t>s</w:t>
      </w:r>
      <w:r w:rsidRPr="00427955">
        <w:rPr>
          <w:rFonts w:eastAsia="MS Mincho"/>
          <w:szCs w:val="24"/>
        </w:rPr>
        <w:t xml:space="preserve">, </w:t>
      </w:r>
      <w:r w:rsidR="00427955" w:rsidRPr="00427955">
        <w:rPr>
          <w:rFonts w:eastAsia="MS Mincho"/>
          <w:szCs w:val="24"/>
        </w:rPr>
        <w:t xml:space="preserve">unless </w:t>
      </w:r>
      <w:r w:rsidR="004762C1">
        <w:rPr>
          <w:rFonts w:eastAsia="MS Mincho"/>
          <w:szCs w:val="24"/>
        </w:rPr>
        <w:t xml:space="preserve">project plans address </w:t>
      </w:r>
      <w:r w:rsidR="00F95447">
        <w:rPr>
          <w:rFonts w:eastAsia="MS Mincho"/>
          <w:szCs w:val="24"/>
        </w:rPr>
        <w:t xml:space="preserve">(or obviate, through transfer of assistance) </w:t>
      </w:r>
      <w:r w:rsidR="004762C1">
        <w:rPr>
          <w:rFonts w:eastAsia="MS Mincho"/>
          <w:szCs w:val="24"/>
        </w:rPr>
        <w:t xml:space="preserve">all physical deficiencies identified in the most recent REAC Inspection report, </w:t>
      </w:r>
      <w:r w:rsidR="00427955" w:rsidRPr="00427955">
        <w:rPr>
          <w:rFonts w:eastAsia="MS Mincho"/>
          <w:szCs w:val="24"/>
        </w:rPr>
        <w:t xml:space="preserve">the project must have a </w:t>
      </w:r>
      <w:r w:rsidR="004762C1">
        <w:rPr>
          <w:rFonts w:eastAsia="MS Mincho"/>
          <w:szCs w:val="24"/>
        </w:rPr>
        <w:t xml:space="preserve">REAC </w:t>
      </w:r>
      <w:r w:rsidR="00427955" w:rsidRPr="00427955">
        <w:rPr>
          <w:rFonts w:eastAsia="MS Mincho"/>
          <w:szCs w:val="24"/>
        </w:rPr>
        <w:t>score of 60 or above</w:t>
      </w:r>
      <w:r w:rsidR="00427955">
        <w:rPr>
          <w:rFonts w:eastAsia="MS Mincho"/>
          <w:szCs w:val="24"/>
        </w:rPr>
        <w:t>.</w:t>
      </w:r>
    </w:p>
    <w:p w14:paraId="7F57C4A5" w14:textId="77777777" w:rsidR="00427955" w:rsidRPr="00427955" w:rsidRDefault="00427955" w:rsidP="00427955">
      <w:pPr>
        <w:spacing w:after="12"/>
        <w:ind w:left="360"/>
        <w:contextualSpacing/>
        <w:rPr>
          <w:rFonts w:eastAsia="MS Mincho"/>
          <w:b/>
          <w:szCs w:val="24"/>
        </w:rPr>
      </w:pPr>
    </w:p>
    <w:p w14:paraId="4E4FF2ED" w14:textId="0317B838" w:rsidR="00DE7475" w:rsidRDefault="00A14DCD" w:rsidP="00DE7475">
      <w:pPr>
        <w:spacing w:after="12"/>
        <w:ind w:left="540"/>
        <w:contextualSpacing/>
        <w:rPr>
          <w:rFonts w:eastAsia="MS Mincho"/>
          <w:szCs w:val="24"/>
        </w:rPr>
      </w:pPr>
      <w:r w:rsidRPr="00077064">
        <w:rPr>
          <w:rFonts w:eastAsia="MS Mincho"/>
          <w:szCs w:val="24"/>
        </w:rPr>
        <w:t xml:space="preserve">For PBV conversions, unless provided explicit approval by HUD, the </w:t>
      </w:r>
      <w:r w:rsidR="0072681B">
        <w:rPr>
          <w:rFonts w:eastAsia="MS Mincho"/>
          <w:szCs w:val="24"/>
        </w:rPr>
        <w:t>C</w:t>
      </w:r>
      <w:r w:rsidRPr="00077064">
        <w:rPr>
          <w:rFonts w:eastAsia="MS Mincho"/>
          <w:szCs w:val="24"/>
        </w:rPr>
        <w:t xml:space="preserve">onverting </w:t>
      </w:r>
      <w:r w:rsidR="0072681B">
        <w:rPr>
          <w:rFonts w:eastAsia="MS Mincho"/>
          <w:szCs w:val="24"/>
        </w:rPr>
        <w:t>P</w:t>
      </w:r>
      <w:r w:rsidR="006467BD">
        <w:rPr>
          <w:rFonts w:eastAsia="MS Mincho"/>
          <w:szCs w:val="24"/>
        </w:rPr>
        <w:t>roject</w:t>
      </w:r>
      <w:r w:rsidRPr="00077064">
        <w:rPr>
          <w:rFonts w:eastAsia="MS Mincho"/>
          <w:szCs w:val="24"/>
        </w:rPr>
        <w:t xml:space="preserve"> must qualify as </w:t>
      </w:r>
      <w:r w:rsidR="004240A8">
        <w:rPr>
          <w:rFonts w:eastAsia="MS Mincho"/>
          <w:szCs w:val="24"/>
        </w:rPr>
        <w:t>“</w:t>
      </w:r>
      <w:r w:rsidRPr="00077064">
        <w:rPr>
          <w:rFonts w:eastAsia="MS Mincho"/>
          <w:szCs w:val="24"/>
        </w:rPr>
        <w:t>existing housing</w:t>
      </w:r>
      <w:r w:rsidR="004240A8">
        <w:rPr>
          <w:rFonts w:eastAsia="MS Mincho"/>
          <w:szCs w:val="24"/>
        </w:rPr>
        <w:t>”</w:t>
      </w:r>
      <w:r w:rsidRPr="00077064">
        <w:rPr>
          <w:rFonts w:eastAsia="MS Mincho"/>
          <w:szCs w:val="24"/>
        </w:rPr>
        <w:t xml:space="preserve"> in order to be </w:t>
      </w:r>
      <w:r w:rsidR="00802165">
        <w:rPr>
          <w:rFonts w:eastAsia="MS Mincho"/>
          <w:szCs w:val="24"/>
        </w:rPr>
        <w:t>eligible</w:t>
      </w:r>
      <w:r w:rsidRPr="00077064">
        <w:rPr>
          <w:rFonts w:eastAsia="MS Mincho"/>
          <w:szCs w:val="24"/>
        </w:rPr>
        <w:t xml:space="preserve"> for conversion. Th</w:t>
      </w:r>
      <w:r w:rsidR="00E32D7D">
        <w:rPr>
          <w:rFonts w:eastAsia="MS Mincho"/>
          <w:szCs w:val="24"/>
        </w:rPr>
        <w:t>is means that the PHA</w:t>
      </w:r>
      <w:r w:rsidR="00D579EC">
        <w:rPr>
          <w:rFonts w:eastAsia="MS Mincho"/>
          <w:szCs w:val="24"/>
        </w:rPr>
        <w:t xml:space="preserve"> </w:t>
      </w:r>
      <w:r w:rsidRPr="00077064">
        <w:rPr>
          <w:rFonts w:eastAsia="MS Mincho"/>
          <w:szCs w:val="24"/>
        </w:rPr>
        <w:t xml:space="preserve">must ensure that the </w:t>
      </w:r>
      <w:r w:rsidR="008D54A9">
        <w:rPr>
          <w:rFonts w:eastAsia="MS Mincho"/>
          <w:szCs w:val="24"/>
        </w:rPr>
        <w:t xml:space="preserve">Converting </w:t>
      </w:r>
      <w:r w:rsidR="005B7BE7">
        <w:rPr>
          <w:rFonts w:eastAsia="MS Mincho"/>
          <w:szCs w:val="24"/>
        </w:rPr>
        <w:t>P</w:t>
      </w:r>
      <w:r w:rsidR="00BF4D65">
        <w:rPr>
          <w:rFonts w:eastAsia="MS Mincho"/>
          <w:szCs w:val="24"/>
        </w:rPr>
        <w:t>roject</w:t>
      </w:r>
      <w:r w:rsidR="008D54A9">
        <w:rPr>
          <w:rFonts w:eastAsia="MS Mincho"/>
          <w:szCs w:val="24"/>
        </w:rPr>
        <w:t>’s</w:t>
      </w:r>
      <w:r w:rsidR="00BF4D65">
        <w:rPr>
          <w:rFonts w:eastAsia="MS Mincho"/>
          <w:szCs w:val="24"/>
        </w:rPr>
        <w:t xml:space="preserve"> </w:t>
      </w:r>
      <w:r w:rsidRPr="00077064">
        <w:rPr>
          <w:rFonts w:eastAsia="MS Mincho"/>
          <w:szCs w:val="24"/>
        </w:rPr>
        <w:t xml:space="preserve">units substantially </w:t>
      </w:r>
      <w:r w:rsidR="00141CD3">
        <w:rPr>
          <w:rFonts w:eastAsia="MS Mincho"/>
          <w:szCs w:val="24"/>
        </w:rPr>
        <w:t xml:space="preserve">comply with </w:t>
      </w:r>
      <w:r w:rsidRPr="00077064">
        <w:rPr>
          <w:rFonts w:eastAsia="MS Mincho"/>
          <w:szCs w:val="24"/>
        </w:rPr>
        <w:t xml:space="preserve">HQS, as defined in the PHA’s Section 8 administrative plan, prior to </w:t>
      </w:r>
      <w:r w:rsidR="00D579EC">
        <w:rPr>
          <w:rFonts w:eastAsia="MS Mincho"/>
          <w:szCs w:val="24"/>
        </w:rPr>
        <w:t>submission of the Conversion Plan</w:t>
      </w:r>
      <w:r w:rsidR="00B65E5F">
        <w:rPr>
          <w:rFonts w:eastAsia="MS Mincho"/>
          <w:szCs w:val="24"/>
        </w:rPr>
        <w:t xml:space="preserve"> (see Section 4.7.4 for more information on the Conversion Plan)</w:t>
      </w:r>
      <w:r w:rsidRPr="00077064">
        <w:rPr>
          <w:rFonts w:eastAsia="MS Mincho"/>
          <w:szCs w:val="24"/>
        </w:rPr>
        <w:t>. Prior to entering into a PBV HAP Contract, the PHA</w:t>
      </w:r>
      <w:r w:rsidR="00D579EC">
        <w:rPr>
          <w:rFonts w:eastAsia="MS Mincho"/>
          <w:szCs w:val="24"/>
        </w:rPr>
        <w:t xml:space="preserve"> </w:t>
      </w:r>
      <w:r w:rsidR="00141CD3">
        <w:rPr>
          <w:rFonts w:eastAsia="MS Mincho"/>
          <w:szCs w:val="24"/>
        </w:rPr>
        <w:t>must</w:t>
      </w:r>
      <w:r w:rsidRPr="00077064">
        <w:rPr>
          <w:rFonts w:eastAsia="MS Mincho"/>
          <w:szCs w:val="24"/>
        </w:rPr>
        <w:t xml:space="preserve"> inspect the </w:t>
      </w:r>
      <w:r w:rsidR="008D54A9">
        <w:rPr>
          <w:rFonts w:eastAsia="MS Mincho"/>
          <w:szCs w:val="24"/>
        </w:rPr>
        <w:t xml:space="preserve">Converting </w:t>
      </w:r>
      <w:r w:rsidR="005B7BE7">
        <w:rPr>
          <w:rFonts w:eastAsia="MS Mincho"/>
          <w:szCs w:val="24"/>
        </w:rPr>
        <w:t>P</w:t>
      </w:r>
      <w:r w:rsidR="007C562A">
        <w:rPr>
          <w:rFonts w:eastAsia="MS Mincho"/>
          <w:szCs w:val="24"/>
        </w:rPr>
        <w:t>roject</w:t>
      </w:r>
      <w:r w:rsidRPr="00077064">
        <w:rPr>
          <w:rFonts w:eastAsia="MS Mincho"/>
          <w:szCs w:val="24"/>
        </w:rPr>
        <w:t xml:space="preserve"> proposed for conversion to ensure that the</w:t>
      </w:r>
      <w:r w:rsidR="00BF4D65">
        <w:rPr>
          <w:rFonts w:eastAsia="MS Mincho"/>
          <w:szCs w:val="24"/>
        </w:rPr>
        <w:t xml:space="preserve"> </w:t>
      </w:r>
      <w:r w:rsidRPr="00077064">
        <w:rPr>
          <w:rFonts w:eastAsia="MS Mincho"/>
          <w:szCs w:val="24"/>
        </w:rPr>
        <w:t>units fully</w:t>
      </w:r>
      <w:r w:rsidR="00D579EC">
        <w:rPr>
          <w:rFonts w:eastAsia="MS Mincho"/>
          <w:szCs w:val="24"/>
        </w:rPr>
        <w:t xml:space="preserve"> </w:t>
      </w:r>
      <w:r w:rsidR="00BF4D65">
        <w:rPr>
          <w:rFonts w:eastAsia="MS Mincho"/>
          <w:szCs w:val="24"/>
        </w:rPr>
        <w:t>comply</w:t>
      </w:r>
      <w:r w:rsidRPr="00077064">
        <w:rPr>
          <w:rFonts w:eastAsia="MS Mincho"/>
          <w:szCs w:val="24"/>
        </w:rPr>
        <w:t xml:space="preserve"> with HQS</w:t>
      </w:r>
      <w:r w:rsidR="00D579EC">
        <w:rPr>
          <w:rFonts w:eastAsia="MS Mincho"/>
          <w:szCs w:val="24"/>
        </w:rPr>
        <w:t>, unless the PHA is using HOTMA non-life threatening and alternative inspection provisions</w:t>
      </w:r>
      <w:r w:rsidRPr="00077064">
        <w:rPr>
          <w:rFonts w:eastAsia="MS Mincho"/>
          <w:szCs w:val="24"/>
        </w:rPr>
        <w:t>.</w:t>
      </w:r>
      <w:r w:rsidR="00D579EC">
        <w:rPr>
          <w:rStyle w:val="FootnoteReference"/>
          <w:rFonts w:eastAsia="MS Mincho"/>
          <w:szCs w:val="24"/>
        </w:rPr>
        <w:footnoteReference w:id="2"/>
      </w:r>
      <w:r w:rsidRPr="00077064">
        <w:rPr>
          <w:rFonts w:eastAsia="MS Mincho"/>
          <w:szCs w:val="24"/>
        </w:rPr>
        <w:t xml:space="preserve"> </w:t>
      </w:r>
    </w:p>
    <w:p w14:paraId="7F57C4A7" w14:textId="2EEA0880" w:rsidR="00A14DCD" w:rsidRPr="00077064" w:rsidRDefault="00A14DCD" w:rsidP="00A14DCD">
      <w:pPr>
        <w:spacing w:after="12"/>
        <w:ind w:left="360"/>
        <w:contextualSpacing/>
        <w:rPr>
          <w:szCs w:val="24"/>
        </w:rPr>
      </w:pPr>
    </w:p>
    <w:p w14:paraId="7F57C4A8" w14:textId="13376744" w:rsidR="00A14DCD" w:rsidRPr="00A25539" w:rsidRDefault="00D26FDE" w:rsidP="00794828">
      <w:pPr>
        <w:pStyle w:val="ListParagraph"/>
        <w:keepNext/>
        <w:keepLines/>
        <w:numPr>
          <w:ilvl w:val="1"/>
          <w:numId w:val="21"/>
        </w:numPr>
        <w:spacing w:before="320" w:after="120" w:line="360" w:lineRule="auto"/>
        <w:outlineLvl w:val="1"/>
        <w:rPr>
          <w:rFonts w:eastAsia="Times New Roman"/>
          <w:sz w:val="24"/>
          <w:szCs w:val="24"/>
          <w:u w:val="single"/>
        </w:rPr>
      </w:pPr>
      <w:bookmarkStart w:id="51" w:name="_Toc328759042"/>
      <w:bookmarkStart w:id="52" w:name="_Toc328759237"/>
      <w:bookmarkStart w:id="53" w:name="_Toc328759432"/>
      <w:bookmarkStart w:id="54" w:name="_Toc328759627"/>
      <w:bookmarkStart w:id="55" w:name="_Toc328759822"/>
      <w:bookmarkStart w:id="56" w:name="_Toc328760018"/>
      <w:bookmarkStart w:id="57" w:name="_Toc328781959"/>
      <w:bookmarkStart w:id="58" w:name="_Toc328782157"/>
      <w:bookmarkStart w:id="59" w:name="_Toc328782354"/>
      <w:bookmarkStart w:id="60" w:name="_Toc328996137"/>
      <w:bookmarkStart w:id="61" w:name="_Toc329003870"/>
      <w:bookmarkStart w:id="62" w:name="_Toc328759043"/>
      <w:bookmarkStart w:id="63" w:name="_Toc328759238"/>
      <w:bookmarkStart w:id="64" w:name="_Toc328759433"/>
      <w:bookmarkStart w:id="65" w:name="_Toc328759628"/>
      <w:bookmarkStart w:id="66" w:name="_Toc328759823"/>
      <w:bookmarkStart w:id="67" w:name="_Toc328760019"/>
      <w:bookmarkStart w:id="68" w:name="_Toc328781960"/>
      <w:bookmarkStart w:id="69" w:name="_Toc328782158"/>
      <w:bookmarkStart w:id="70" w:name="_Toc328782355"/>
      <w:bookmarkStart w:id="71" w:name="_Toc328996138"/>
      <w:bookmarkStart w:id="72" w:name="_Toc329003871"/>
      <w:bookmarkStart w:id="73" w:name="_Toc328759044"/>
      <w:bookmarkStart w:id="74" w:name="_Toc328759239"/>
      <w:bookmarkStart w:id="75" w:name="_Toc328759434"/>
      <w:bookmarkStart w:id="76" w:name="_Toc328759629"/>
      <w:bookmarkStart w:id="77" w:name="_Toc328759824"/>
      <w:bookmarkStart w:id="78" w:name="_Toc328760020"/>
      <w:bookmarkStart w:id="79" w:name="_Toc328781961"/>
      <w:bookmarkStart w:id="80" w:name="_Toc328782159"/>
      <w:bookmarkStart w:id="81" w:name="_Toc328782356"/>
      <w:bookmarkStart w:id="82" w:name="_Toc328996139"/>
      <w:bookmarkStart w:id="83" w:name="_Toc329003872"/>
      <w:bookmarkStart w:id="84" w:name="_Toc328759045"/>
      <w:bookmarkStart w:id="85" w:name="_Toc328759240"/>
      <w:bookmarkStart w:id="86" w:name="_Toc328759435"/>
      <w:bookmarkStart w:id="87" w:name="_Toc328759630"/>
      <w:bookmarkStart w:id="88" w:name="_Toc328759825"/>
      <w:bookmarkStart w:id="89" w:name="_Toc328760021"/>
      <w:bookmarkStart w:id="90" w:name="_Toc328781962"/>
      <w:bookmarkStart w:id="91" w:name="_Toc328782160"/>
      <w:bookmarkStart w:id="92" w:name="_Toc328782357"/>
      <w:bookmarkStart w:id="93" w:name="_Toc328996140"/>
      <w:bookmarkStart w:id="94" w:name="_Toc329003873"/>
      <w:bookmarkStart w:id="95" w:name="_Toc328759046"/>
      <w:bookmarkStart w:id="96" w:name="_Toc328759241"/>
      <w:bookmarkStart w:id="97" w:name="_Toc328759436"/>
      <w:bookmarkStart w:id="98" w:name="_Toc328759631"/>
      <w:bookmarkStart w:id="99" w:name="_Toc328759826"/>
      <w:bookmarkStart w:id="100" w:name="_Toc328760022"/>
      <w:bookmarkStart w:id="101" w:name="_Toc328781963"/>
      <w:bookmarkStart w:id="102" w:name="_Toc328782161"/>
      <w:bookmarkStart w:id="103" w:name="_Toc328782358"/>
      <w:bookmarkStart w:id="104" w:name="_Toc328996141"/>
      <w:bookmarkStart w:id="105" w:name="_Toc329003874"/>
      <w:bookmarkStart w:id="106" w:name="_Toc328759047"/>
      <w:bookmarkStart w:id="107" w:name="_Toc328759242"/>
      <w:bookmarkStart w:id="108" w:name="_Toc328759437"/>
      <w:bookmarkStart w:id="109" w:name="_Toc328759632"/>
      <w:bookmarkStart w:id="110" w:name="_Toc328759827"/>
      <w:bookmarkStart w:id="111" w:name="_Toc328760023"/>
      <w:bookmarkStart w:id="112" w:name="_Toc328781964"/>
      <w:bookmarkStart w:id="113" w:name="_Toc328782162"/>
      <w:bookmarkStart w:id="114" w:name="_Toc328782359"/>
      <w:bookmarkStart w:id="115" w:name="_Toc328996142"/>
      <w:bookmarkStart w:id="116" w:name="_Toc329003875"/>
      <w:bookmarkStart w:id="117" w:name="_Toc328759048"/>
      <w:bookmarkStart w:id="118" w:name="_Toc328759243"/>
      <w:bookmarkStart w:id="119" w:name="_Toc328759438"/>
      <w:bookmarkStart w:id="120" w:name="_Toc328759633"/>
      <w:bookmarkStart w:id="121" w:name="_Toc328759828"/>
      <w:bookmarkStart w:id="122" w:name="_Toc328760024"/>
      <w:bookmarkStart w:id="123" w:name="_Toc328781965"/>
      <w:bookmarkStart w:id="124" w:name="_Toc328782163"/>
      <w:bookmarkStart w:id="125" w:name="_Toc328782360"/>
      <w:bookmarkStart w:id="126" w:name="_Toc328996143"/>
      <w:bookmarkStart w:id="127" w:name="_Toc329003876"/>
      <w:bookmarkStart w:id="128" w:name="_Toc328759049"/>
      <w:bookmarkStart w:id="129" w:name="_Toc328759244"/>
      <w:bookmarkStart w:id="130" w:name="_Toc328759439"/>
      <w:bookmarkStart w:id="131" w:name="_Toc328759634"/>
      <w:bookmarkStart w:id="132" w:name="_Toc328759829"/>
      <w:bookmarkStart w:id="133" w:name="_Toc328760025"/>
      <w:bookmarkStart w:id="134" w:name="_Toc328781966"/>
      <w:bookmarkStart w:id="135" w:name="_Toc328782164"/>
      <w:bookmarkStart w:id="136" w:name="_Toc328782361"/>
      <w:bookmarkStart w:id="137" w:name="_Toc328996144"/>
      <w:bookmarkStart w:id="138" w:name="_Toc329003877"/>
      <w:bookmarkStart w:id="139" w:name="_Toc42188892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b/>
          <w:bCs/>
          <w:sz w:val="24"/>
          <w:szCs w:val="24"/>
          <w:u w:val="single"/>
        </w:rPr>
        <w:t>General</w:t>
      </w:r>
      <w:r w:rsidR="00A14DCD" w:rsidRPr="004167B7">
        <w:rPr>
          <w:rFonts w:eastAsia="Times New Roman"/>
          <w:b/>
          <w:bCs/>
          <w:sz w:val="24"/>
          <w:szCs w:val="24"/>
          <w:u w:val="single"/>
        </w:rPr>
        <w:t xml:space="preserve"> Requirements</w:t>
      </w:r>
      <w:bookmarkEnd w:id="139"/>
    </w:p>
    <w:p w14:paraId="4C30A4E2" w14:textId="44DC0414" w:rsidR="000F36E0" w:rsidRPr="00CA6A59" w:rsidRDefault="00CA6A59" w:rsidP="00794828">
      <w:pPr>
        <w:pStyle w:val="ListParagraph"/>
        <w:numPr>
          <w:ilvl w:val="0"/>
          <w:numId w:val="17"/>
        </w:numPr>
        <w:autoSpaceDE w:val="0"/>
        <w:autoSpaceDN w:val="0"/>
        <w:spacing w:after="12"/>
        <w:ind w:left="360"/>
        <w:rPr>
          <w:iCs/>
          <w:sz w:val="24"/>
          <w:szCs w:val="24"/>
        </w:rPr>
      </w:pPr>
      <w:r w:rsidRPr="00CA6A59">
        <w:rPr>
          <w:b/>
          <w:sz w:val="24"/>
          <w:szCs w:val="24"/>
        </w:rPr>
        <w:t>Applicability of PRAC Requirements.</w:t>
      </w:r>
      <w:r>
        <w:rPr>
          <w:sz w:val="24"/>
          <w:szCs w:val="24"/>
        </w:rPr>
        <w:t xml:space="preserve"> </w:t>
      </w:r>
      <w:r w:rsidRPr="00CA6A59">
        <w:rPr>
          <w:sz w:val="24"/>
          <w:szCs w:val="24"/>
        </w:rPr>
        <w:t xml:space="preserve">Until conversion and the effective date of a HAP Contract, properties continue to be subject to the requirements of the PRAC. Owners of 202 PRAC Projects are required to submit a project budget and any accompanying request for a Budget Based Rent Increase annually for renewal of the PRAC. HUD requires that </w:t>
      </w:r>
      <w:r w:rsidR="000078CE">
        <w:rPr>
          <w:sz w:val="24"/>
          <w:szCs w:val="24"/>
        </w:rPr>
        <w:t>Project Owner</w:t>
      </w:r>
      <w:r w:rsidRPr="00CA6A59">
        <w:rPr>
          <w:sz w:val="24"/>
          <w:szCs w:val="24"/>
        </w:rPr>
        <w:t>s analyze project operating and capital needs as well as the efficacy of resident services at each renewal and request adjustments to the Operating Expense Amount accordingly</w:t>
      </w:r>
      <w:r w:rsidR="0043258D">
        <w:rPr>
          <w:sz w:val="24"/>
          <w:szCs w:val="24"/>
        </w:rPr>
        <w:t xml:space="preserve">. </w:t>
      </w:r>
    </w:p>
    <w:p w14:paraId="76019778" w14:textId="77777777" w:rsidR="000F36E0" w:rsidRPr="00CA6A59" w:rsidRDefault="000F36E0" w:rsidP="00CA6A59">
      <w:pPr>
        <w:autoSpaceDE w:val="0"/>
        <w:autoSpaceDN w:val="0"/>
        <w:spacing w:after="12"/>
        <w:rPr>
          <w:iCs/>
          <w:szCs w:val="24"/>
        </w:rPr>
      </w:pPr>
    </w:p>
    <w:p w14:paraId="7F57C4AF" w14:textId="479541DE" w:rsidR="00597226" w:rsidRDefault="00A14DCD" w:rsidP="00794828">
      <w:pPr>
        <w:pStyle w:val="ListParagraph"/>
        <w:numPr>
          <w:ilvl w:val="0"/>
          <w:numId w:val="17"/>
        </w:numPr>
        <w:autoSpaceDE w:val="0"/>
        <w:autoSpaceDN w:val="0"/>
        <w:spacing w:after="12"/>
        <w:ind w:left="360"/>
        <w:rPr>
          <w:sz w:val="24"/>
          <w:szCs w:val="24"/>
        </w:rPr>
      </w:pPr>
      <w:r w:rsidRPr="00100248">
        <w:rPr>
          <w:b/>
          <w:sz w:val="24"/>
          <w:szCs w:val="24"/>
        </w:rPr>
        <w:t>Capital Needs Assessment (CNA</w:t>
      </w:r>
      <w:r w:rsidRPr="00CA6A59">
        <w:rPr>
          <w:sz w:val="24"/>
          <w:szCs w:val="24"/>
        </w:rPr>
        <w:t xml:space="preserve">). </w:t>
      </w:r>
      <w:r w:rsidR="00CA6A59" w:rsidRPr="00CA6A59">
        <w:rPr>
          <w:sz w:val="24"/>
          <w:szCs w:val="24"/>
        </w:rPr>
        <w:t xml:space="preserve">Each </w:t>
      </w:r>
      <w:r w:rsidR="00BB0AA7">
        <w:rPr>
          <w:sz w:val="24"/>
          <w:szCs w:val="24"/>
        </w:rPr>
        <w:t>Converting P</w:t>
      </w:r>
      <w:r w:rsidR="00CA6A59" w:rsidRPr="00CA6A59">
        <w:rPr>
          <w:sz w:val="24"/>
          <w:szCs w:val="24"/>
        </w:rPr>
        <w:t xml:space="preserve">roject is required to have a CNA and </w:t>
      </w:r>
      <w:r w:rsidR="00CC5075">
        <w:rPr>
          <w:sz w:val="24"/>
          <w:szCs w:val="24"/>
        </w:rPr>
        <w:t xml:space="preserve">to </w:t>
      </w:r>
      <w:r w:rsidR="00CA6A59" w:rsidRPr="00CA6A59">
        <w:rPr>
          <w:sz w:val="24"/>
          <w:szCs w:val="24"/>
        </w:rPr>
        <w:t xml:space="preserve">demonstrate </w:t>
      </w:r>
      <w:r w:rsidR="00CC5075">
        <w:rPr>
          <w:sz w:val="24"/>
          <w:szCs w:val="24"/>
        </w:rPr>
        <w:t xml:space="preserve">that </w:t>
      </w:r>
      <w:r w:rsidR="00CA6A59" w:rsidRPr="00CA6A59">
        <w:rPr>
          <w:sz w:val="24"/>
          <w:szCs w:val="24"/>
        </w:rPr>
        <w:t xml:space="preserve">both short-term </w:t>
      </w:r>
      <w:r w:rsidR="00CC5075">
        <w:rPr>
          <w:sz w:val="24"/>
          <w:szCs w:val="24"/>
        </w:rPr>
        <w:t>and</w:t>
      </w:r>
      <w:r w:rsidR="00CA6A59" w:rsidRPr="00CA6A59">
        <w:rPr>
          <w:sz w:val="24"/>
          <w:szCs w:val="24"/>
        </w:rPr>
        <w:t xml:space="preserve"> long-term capital needs</w:t>
      </w:r>
      <w:r w:rsidR="00713F1E">
        <w:rPr>
          <w:sz w:val="24"/>
          <w:szCs w:val="24"/>
        </w:rPr>
        <w:t xml:space="preserve"> </w:t>
      </w:r>
      <w:r w:rsidR="00CA6A59" w:rsidRPr="00CA6A59">
        <w:rPr>
          <w:sz w:val="24"/>
          <w:szCs w:val="24"/>
        </w:rPr>
        <w:t xml:space="preserve">can be addressed through a </w:t>
      </w:r>
      <w:r w:rsidR="005C5FD8">
        <w:rPr>
          <w:sz w:val="24"/>
          <w:szCs w:val="24"/>
        </w:rPr>
        <w:t>r</w:t>
      </w:r>
      <w:r w:rsidR="00CA6A59" w:rsidRPr="00CA6A59">
        <w:rPr>
          <w:sz w:val="24"/>
          <w:szCs w:val="24"/>
        </w:rPr>
        <w:t xml:space="preserve">eplacement </w:t>
      </w:r>
      <w:r w:rsidR="005C5FD8">
        <w:rPr>
          <w:sz w:val="24"/>
          <w:szCs w:val="24"/>
        </w:rPr>
        <w:t>reserve a</w:t>
      </w:r>
      <w:r w:rsidR="00CA6A59" w:rsidRPr="00CA6A59">
        <w:rPr>
          <w:sz w:val="24"/>
          <w:szCs w:val="24"/>
        </w:rPr>
        <w:t>ccount and proposed financing</w:t>
      </w:r>
      <w:r w:rsidR="008C6500">
        <w:rPr>
          <w:sz w:val="24"/>
          <w:szCs w:val="24"/>
        </w:rPr>
        <w:t>, as further described below</w:t>
      </w:r>
      <w:r w:rsidR="00CA6A59" w:rsidRPr="00CA6A59">
        <w:rPr>
          <w:sz w:val="24"/>
          <w:szCs w:val="24"/>
        </w:rPr>
        <w:t xml:space="preserve">. The CNA must be completed by a qualified, independent third-party professional no earlier than 180 days prior to submission of the Conversion Plan, except with HUD approval. The CNA contains two major components – the narrative (the description of each component and its condition) and a 20-year </w:t>
      </w:r>
      <w:r w:rsidR="00CC5075">
        <w:rPr>
          <w:sz w:val="24"/>
          <w:szCs w:val="24"/>
        </w:rPr>
        <w:t xml:space="preserve">replacement </w:t>
      </w:r>
      <w:r w:rsidR="00CA6A59" w:rsidRPr="00CA6A59">
        <w:rPr>
          <w:sz w:val="24"/>
          <w:szCs w:val="24"/>
        </w:rPr>
        <w:t xml:space="preserve">schedule and </w:t>
      </w:r>
      <w:r w:rsidR="00CC5075">
        <w:rPr>
          <w:sz w:val="24"/>
          <w:szCs w:val="24"/>
        </w:rPr>
        <w:t xml:space="preserve">the </w:t>
      </w:r>
      <w:r w:rsidR="00CA6A59" w:rsidRPr="00CA6A59">
        <w:rPr>
          <w:sz w:val="24"/>
          <w:szCs w:val="24"/>
        </w:rPr>
        <w:t xml:space="preserve">associated determination of the Annual Deposit to </w:t>
      </w:r>
      <w:r w:rsidR="005C5FD8">
        <w:rPr>
          <w:sz w:val="24"/>
          <w:szCs w:val="24"/>
        </w:rPr>
        <w:t xml:space="preserve">the </w:t>
      </w:r>
      <w:r w:rsidR="00CA6A59" w:rsidRPr="00CA6A59">
        <w:rPr>
          <w:sz w:val="24"/>
          <w:szCs w:val="24"/>
        </w:rPr>
        <w:t>Replacement Reserve, or ADRR.</w:t>
      </w:r>
      <w:r w:rsidR="0050697A">
        <w:rPr>
          <w:sz w:val="24"/>
          <w:szCs w:val="24"/>
        </w:rPr>
        <w:t xml:space="preserve"> The CNA will identify certain improvements for physical accessibility for persons with disabilities</w:t>
      </w:r>
      <w:r w:rsidR="00A576E6">
        <w:rPr>
          <w:sz w:val="24"/>
          <w:szCs w:val="24"/>
        </w:rPr>
        <w:t xml:space="preserve"> as well as design considerations </w:t>
      </w:r>
      <w:r w:rsidR="009C1212">
        <w:rPr>
          <w:sz w:val="24"/>
          <w:szCs w:val="24"/>
        </w:rPr>
        <w:t>that promote housing stability for an aging population</w:t>
      </w:r>
      <w:r w:rsidR="0050697A">
        <w:rPr>
          <w:sz w:val="24"/>
          <w:szCs w:val="24"/>
        </w:rPr>
        <w:t>.</w:t>
      </w:r>
    </w:p>
    <w:p w14:paraId="2EF0CF90" w14:textId="77777777" w:rsidR="00CA6A59" w:rsidRPr="00CA6A59" w:rsidRDefault="00CA6A59" w:rsidP="00CA6A59">
      <w:pPr>
        <w:autoSpaceDE w:val="0"/>
        <w:autoSpaceDN w:val="0"/>
        <w:spacing w:after="12"/>
        <w:rPr>
          <w:szCs w:val="24"/>
        </w:rPr>
      </w:pPr>
    </w:p>
    <w:p w14:paraId="7F57C4B2" w14:textId="5A55F0A1" w:rsidR="00635565" w:rsidRPr="00635565" w:rsidRDefault="00135273" w:rsidP="00794828">
      <w:pPr>
        <w:numPr>
          <w:ilvl w:val="0"/>
          <w:numId w:val="17"/>
        </w:numPr>
        <w:ind w:left="360"/>
        <w:rPr>
          <w:szCs w:val="24"/>
        </w:rPr>
      </w:pPr>
      <w:bookmarkStart w:id="140" w:name="_Hlk1746050"/>
      <w:r w:rsidRPr="00135273">
        <w:rPr>
          <w:b/>
          <w:szCs w:val="24"/>
        </w:rPr>
        <w:t xml:space="preserve">Supportive </w:t>
      </w:r>
      <w:r w:rsidR="00222701" w:rsidRPr="00135273">
        <w:rPr>
          <w:b/>
          <w:szCs w:val="24"/>
        </w:rPr>
        <w:t>Service</w:t>
      </w:r>
      <w:r w:rsidRPr="00135273">
        <w:rPr>
          <w:b/>
          <w:szCs w:val="24"/>
        </w:rPr>
        <w:t>s for the Elderly</w:t>
      </w:r>
      <w:r w:rsidR="00222701" w:rsidRPr="00135273">
        <w:rPr>
          <w:b/>
          <w:szCs w:val="24"/>
        </w:rPr>
        <w:t xml:space="preserve">. </w:t>
      </w:r>
      <w:r w:rsidR="00CA6A59" w:rsidRPr="00CA6A59">
        <w:rPr>
          <w:szCs w:val="24"/>
        </w:rPr>
        <w:t>A Service Coordinator and/or the availability of Supportive Services for the elderly plays a critical role supporting the physical and mental health and wellness of residents and the delivery of cost-effective long-term community-based housing for this population. Each project will be required to demonstrate that the needs of residents are adequately met either through a Service Coordinator</w:t>
      </w:r>
      <w:r w:rsidR="007A302A">
        <w:rPr>
          <w:rStyle w:val="FootnoteReference"/>
          <w:szCs w:val="24"/>
        </w:rPr>
        <w:footnoteReference w:id="3"/>
      </w:r>
      <w:r w:rsidR="00CA6A59" w:rsidRPr="00CA6A59">
        <w:rPr>
          <w:szCs w:val="24"/>
        </w:rPr>
        <w:t xml:space="preserve"> (full-time or part-time) funded through the annual project budget or through another</w:t>
      </w:r>
      <w:r w:rsidR="00E33167">
        <w:rPr>
          <w:szCs w:val="24"/>
        </w:rPr>
        <w:t xml:space="preserve"> service coordination/service provision</w:t>
      </w:r>
      <w:r w:rsidR="00CA6A59" w:rsidRPr="00CA6A59">
        <w:rPr>
          <w:szCs w:val="24"/>
        </w:rPr>
        <w:t xml:space="preserve"> arrangement. Applicants must describe how the proposed supportive services provided by the Project or otherwise available to residents </w:t>
      </w:r>
      <w:r w:rsidR="0016634A">
        <w:rPr>
          <w:szCs w:val="24"/>
        </w:rPr>
        <w:t xml:space="preserve">will </w:t>
      </w:r>
      <w:r w:rsidR="00CA6A59" w:rsidRPr="00CA6A59">
        <w:rPr>
          <w:szCs w:val="24"/>
        </w:rPr>
        <w:t>meet the identified needs of the anticipated residents as they age</w:t>
      </w:r>
      <w:r w:rsidR="0016634A">
        <w:rPr>
          <w:szCs w:val="24"/>
        </w:rPr>
        <w:t xml:space="preserve">. Applicants must further describe </w:t>
      </w:r>
      <w:r w:rsidR="00CA6A59" w:rsidRPr="00CA6A59">
        <w:rPr>
          <w:szCs w:val="24"/>
        </w:rPr>
        <w:t>how the identified supportive services will be provided or otherwise made available on a consistent, long-term basis to support residents</w:t>
      </w:r>
      <w:r w:rsidR="007821CE">
        <w:rPr>
          <w:szCs w:val="24"/>
        </w:rPr>
        <w:t>.</w:t>
      </w:r>
      <w:r w:rsidR="0016634A">
        <w:rPr>
          <w:szCs w:val="24"/>
        </w:rPr>
        <w:t xml:space="preserve"> </w:t>
      </w:r>
      <w:r w:rsidR="007821CE">
        <w:rPr>
          <w:szCs w:val="24"/>
        </w:rPr>
        <w:t>T</w:t>
      </w:r>
      <w:r w:rsidR="0016634A">
        <w:rPr>
          <w:szCs w:val="24"/>
        </w:rPr>
        <w:t>hese commitments will be incorporated into contractual obligations at closing</w:t>
      </w:r>
      <w:r w:rsidR="0043258D">
        <w:rPr>
          <w:szCs w:val="24"/>
        </w:rPr>
        <w:t>.</w:t>
      </w:r>
      <w:bookmarkEnd w:id="140"/>
      <w:r w:rsidR="0043258D">
        <w:rPr>
          <w:szCs w:val="24"/>
        </w:rPr>
        <w:t xml:space="preserve"> </w:t>
      </w:r>
    </w:p>
    <w:p w14:paraId="7F57C4B3" w14:textId="77777777" w:rsidR="00733597" w:rsidRPr="00733597" w:rsidRDefault="00733597" w:rsidP="00364AB7">
      <w:pPr>
        <w:spacing w:after="12"/>
        <w:ind w:left="360"/>
        <w:contextualSpacing/>
        <w:rPr>
          <w:szCs w:val="24"/>
        </w:rPr>
      </w:pPr>
    </w:p>
    <w:p w14:paraId="7B372628" w14:textId="60394F1A" w:rsidR="00CA6A59" w:rsidRDefault="00EF6330" w:rsidP="00794828">
      <w:pPr>
        <w:pStyle w:val="CommentText"/>
        <w:numPr>
          <w:ilvl w:val="0"/>
          <w:numId w:val="17"/>
        </w:numPr>
        <w:spacing w:after="120" w:line="276" w:lineRule="auto"/>
        <w:ind w:left="360"/>
        <w:rPr>
          <w:rFonts w:ascii="Times New Roman" w:hAnsi="Times New Roman"/>
          <w:sz w:val="24"/>
          <w:szCs w:val="24"/>
        </w:rPr>
      </w:pPr>
      <w:r w:rsidRPr="00733597">
        <w:rPr>
          <w:rFonts w:ascii="Times New Roman" w:hAnsi="Times New Roman"/>
          <w:b/>
          <w:sz w:val="24"/>
          <w:szCs w:val="24"/>
        </w:rPr>
        <w:t>Financing</w:t>
      </w:r>
      <w:r w:rsidR="00810C00" w:rsidRPr="00733597">
        <w:rPr>
          <w:rFonts w:ascii="Times New Roman" w:hAnsi="Times New Roman"/>
          <w:b/>
          <w:sz w:val="24"/>
          <w:szCs w:val="24"/>
        </w:rPr>
        <w:t xml:space="preserve"> and Repairs</w:t>
      </w:r>
      <w:r w:rsidRPr="00733597">
        <w:rPr>
          <w:rFonts w:ascii="Times New Roman" w:hAnsi="Times New Roman"/>
          <w:b/>
          <w:sz w:val="24"/>
          <w:szCs w:val="24"/>
        </w:rPr>
        <w:t>.</w:t>
      </w:r>
      <w:r w:rsidRPr="00733597">
        <w:rPr>
          <w:rFonts w:ascii="Times New Roman" w:hAnsi="Times New Roman"/>
          <w:sz w:val="24"/>
          <w:szCs w:val="24"/>
        </w:rPr>
        <w:t xml:space="preserve"> </w:t>
      </w:r>
      <w:r w:rsidR="00733597" w:rsidRPr="00733597">
        <w:rPr>
          <w:rFonts w:ascii="Times New Roman" w:hAnsi="Times New Roman"/>
          <w:sz w:val="24"/>
          <w:szCs w:val="24"/>
        </w:rPr>
        <w:t xml:space="preserve">If the CNA </w:t>
      </w:r>
      <w:r w:rsidR="00F86340">
        <w:rPr>
          <w:rFonts w:ascii="Times New Roman" w:hAnsi="Times New Roman"/>
          <w:sz w:val="24"/>
          <w:szCs w:val="24"/>
        </w:rPr>
        <w:t xml:space="preserve">identifies repairs </w:t>
      </w:r>
      <w:r w:rsidR="00F86340" w:rsidRPr="00F86340">
        <w:rPr>
          <w:rFonts w:ascii="Times New Roman" w:hAnsi="Times New Roman"/>
          <w:sz w:val="24"/>
          <w:szCs w:val="24"/>
        </w:rPr>
        <w:t xml:space="preserve">as critical, immediate or required within the first two years following conversion </w:t>
      </w:r>
      <w:r w:rsidR="00CC6247">
        <w:rPr>
          <w:rFonts w:ascii="Times New Roman" w:hAnsi="Times New Roman"/>
          <w:sz w:val="24"/>
          <w:szCs w:val="24"/>
        </w:rPr>
        <w:t>and</w:t>
      </w:r>
      <w:r w:rsidR="00F86340" w:rsidRPr="00F86340">
        <w:rPr>
          <w:rFonts w:ascii="Times New Roman" w:hAnsi="Times New Roman"/>
          <w:sz w:val="24"/>
          <w:szCs w:val="24"/>
        </w:rPr>
        <w:t xml:space="preserve"> the total of such repairs exceeds</w:t>
      </w:r>
      <w:r w:rsidR="00733597" w:rsidRPr="00733597">
        <w:rPr>
          <w:rFonts w:ascii="Times New Roman" w:hAnsi="Times New Roman"/>
          <w:sz w:val="24"/>
          <w:szCs w:val="24"/>
        </w:rPr>
        <w:t xml:space="preserve"> $5</w:t>
      </w:r>
      <w:r w:rsidR="00F86340">
        <w:rPr>
          <w:rFonts w:ascii="Times New Roman" w:hAnsi="Times New Roman"/>
          <w:sz w:val="24"/>
          <w:szCs w:val="24"/>
        </w:rPr>
        <w:t>,0</w:t>
      </w:r>
      <w:r w:rsidR="00733597" w:rsidRPr="00733597">
        <w:rPr>
          <w:rFonts w:ascii="Times New Roman" w:hAnsi="Times New Roman"/>
          <w:sz w:val="24"/>
          <w:szCs w:val="24"/>
        </w:rPr>
        <w:t>00 per unit</w:t>
      </w:r>
      <w:r w:rsidR="000C6CE6">
        <w:rPr>
          <w:rFonts w:ascii="Times New Roman" w:hAnsi="Times New Roman"/>
          <w:sz w:val="24"/>
          <w:szCs w:val="24"/>
        </w:rPr>
        <w:t>,</w:t>
      </w:r>
      <w:r w:rsidR="00733597" w:rsidRPr="00733597">
        <w:rPr>
          <w:rFonts w:ascii="Times New Roman" w:hAnsi="Times New Roman"/>
          <w:sz w:val="24"/>
          <w:szCs w:val="24"/>
        </w:rPr>
        <w:t xml:space="preserve"> if HUD determines that immediate repairs are necessary based on REAC scores of </w:t>
      </w:r>
      <w:r w:rsidR="00350AEE">
        <w:rPr>
          <w:rFonts w:ascii="Times New Roman" w:hAnsi="Times New Roman"/>
          <w:sz w:val="24"/>
          <w:szCs w:val="24"/>
        </w:rPr>
        <w:t>59</w:t>
      </w:r>
      <w:r w:rsidR="00733597" w:rsidRPr="00733597">
        <w:rPr>
          <w:rFonts w:ascii="Times New Roman" w:hAnsi="Times New Roman"/>
          <w:sz w:val="24"/>
          <w:szCs w:val="24"/>
        </w:rPr>
        <w:t xml:space="preserve"> or less or referrals to the </w:t>
      </w:r>
      <w:r w:rsidR="007C562A">
        <w:rPr>
          <w:rFonts w:ascii="Times New Roman" w:hAnsi="Times New Roman"/>
          <w:sz w:val="24"/>
          <w:szCs w:val="24"/>
        </w:rPr>
        <w:t>Department Enforcement Center (</w:t>
      </w:r>
      <w:r w:rsidR="00733597" w:rsidRPr="00733597">
        <w:rPr>
          <w:rFonts w:ascii="Times New Roman" w:hAnsi="Times New Roman"/>
          <w:sz w:val="24"/>
          <w:szCs w:val="24"/>
        </w:rPr>
        <w:t>DEC</w:t>
      </w:r>
      <w:r w:rsidR="007C562A">
        <w:rPr>
          <w:rFonts w:ascii="Times New Roman" w:hAnsi="Times New Roman"/>
          <w:sz w:val="24"/>
          <w:szCs w:val="24"/>
        </w:rPr>
        <w:t>)</w:t>
      </w:r>
      <w:r w:rsidR="00733597" w:rsidRPr="00733597">
        <w:rPr>
          <w:rFonts w:ascii="Times New Roman" w:hAnsi="Times New Roman"/>
          <w:sz w:val="24"/>
          <w:szCs w:val="24"/>
        </w:rPr>
        <w:t xml:space="preserve"> related to physical conditions</w:t>
      </w:r>
      <w:r w:rsidR="00CC6247">
        <w:rPr>
          <w:rFonts w:ascii="Times New Roman" w:hAnsi="Times New Roman"/>
          <w:sz w:val="24"/>
          <w:szCs w:val="24"/>
        </w:rPr>
        <w:t>,</w:t>
      </w:r>
      <w:r w:rsidR="0050697A">
        <w:rPr>
          <w:rFonts w:ascii="Times New Roman" w:hAnsi="Times New Roman"/>
          <w:sz w:val="24"/>
          <w:szCs w:val="24"/>
        </w:rPr>
        <w:t xml:space="preserve"> or if there is outstanding noncompliance with accessibility requirements identified by the CNA</w:t>
      </w:r>
      <w:r w:rsidR="00733597" w:rsidRPr="00733597">
        <w:rPr>
          <w:rFonts w:ascii="Times New Roman" w:hAnsi="Times New Roman"/>
          <w:sz w:val="24"/>
          <w:szCs w:val="24"/>
        </w:rPr>
        <w:t xml:space="preserve">, the </w:t>
      </w:r>
      <w:r w:rsidR="000078CE">
        <w:rPr>
          <w:rFonts w:ascii="Times New Roman" w:hAnsi="Times New Roman"/>
          <w:sz w:val="24"/>
          <w:szCs w:val="24"/>
        </w:rPr>
        <w:t>Project Owner</w:t>
      </w:r>
      <w:r w:rsidR="00733597" w:rsidRPr="00733597">
        <w:rPr>
          <w:rFonts w:ascii="Times New Roman" w:hAnsi="Times New Roman"/>
          <w:sz w:val="24"/>
          <w:szCs w:val="24"/>
        </w:rPr>
        <w:t xml:space="preserve"> must demonstrate the availability of financing to address such needs and must agree to address such needs </w:t>
      </w:r>
      <w:r w:rsidR="00BB0AA7">
        <w:rPr>
          <w:rFonts w:ascii="Times New Roman" w:hAnsi="Times New Roman"/>
          <w:sz w:val="24"/>
          <w:szCs w:val="24"/>
        </w:rPr>
        <w:t>following the conversion</w:t>
      </w:r>
      <w:r w:rsidR="00CC6247">
        <w:rPr>
          <w:rFonts w:ascii="Times New Roman" w:hAnsi="Times New Roman"/>
          <w:sz w:val="24"/>
          <w:szCs w:val="24"/>
        </w:rPr>
        <w:t xml:space="preserve"> as part of the Work</w:t>
      </w:r>
      <w:r w:rsidR="00AD131C">
        <w:rPr>
          <w:rFonts w:ascii="Times New Roman" w:hAnsi="Times New Roman"/>
          <w:sz w:val="24"/>
          <w:szCs w:val="24"/>
        </w:rPr>
        <w:t xml:space="preserve">. </w:t>
      </w:r>
      <w:r w:rsidR="00DC067F" w:rsidRPr="00733597">
        <w:rPr>
          <w:rFonts w:ascii="Times New Roman" w:hAnsi="Times New Roman"/>
          <w:sz w:val="24"/>
          <w:szCs w:val="24"/>
        </w:rPr>
        <w:t>Following conversion</w:t>
      </w:r>
      <w:r w:rsidR="00364AB7">
        <w:rPr>
          <w:rFonts w:ascii="Times New Roman" w:hAnsi="Times New Roman"/>
          <w:sz w:val="24"/>
          <w:szCs w:val="24"/>
        </w:rPr>
        <w:t xml:space="preserve"> and the completion of any immediate repairs</w:t>
      </w:r>
      <w:r w:rsidR="00DC067F" w:rsidRPr="00733597">
        <w:rPr>
          <w:rFonts w:ascii="Times New Roman" w:hAnsi="Times New Roman"/>
          <w:sz w:val="24"/>
          <w:szCs w:val="24"/>
        </w:rPr>
        <w:t xml:space="preserve">, </w:t>
      </w:r>
      <w:r w:rsidR="00C40E58" w:rsidRPr="00733597">
        <w:rPr>
          <w:rFonts w:ascii="Times New Roman" w:hAnsi="Times New Roman"/>
          <w:sz w:val="24"/>
          <w:szCs w:val="24"/>
        </w:rPr>
        <w:t xml:space="preserve">HUD </w:t>
      </w:r>
      <w:r w:rsidR="00930B12">
        <w:rPr>
          <w:rFonts w:ascii="Times New Roman" w:hAnsi="Times New Roman"/>
          <w:sz w:val="24"/>
          <w:szCs w:val="24"/>
        </w:rPr>
        <w:t>requires</w:t>
      </w:r>
      <w:r w:rsidR="00C40E58" w:rsidRPr="00733597">
        <w:rPr>
          <w:rFonts w:ascii="Times New Roman" w:hAnsi="Times New Roman"/>
          <w:sz w:val="24"/>
          <w:szCs w:val="24"/>
        </w:rPr>
        <w:t xml:space="preserve"> all </w:t>
      </w:r>
      <w:r w:rsidR="005B7BE7">
        <w:rPr>
          <w:rFonts w:ascii="Times New Roman" w:hAnsi="Times New Roman"/>
          <w:sz w:val="24"/>
          <w:szCs w:val="24"/>
        </w:rPr>
        <w:t>P</w:t>
      </w:r>
      <w:r w:rsidR="00854092">
        <w:rPr>
          <w:rFonts w:ascii="Times New Roman" w:hAnsi="Times New Roman"/>
          <w:sz w:val="24"/>
          <w:szCs w:val="24"/>
        </w:rPr>
        <w:t>rojects</w:t>
      </w:r>
      <w:r w:rsidR="00C40E58" w:rsidRPr="00733597">
        <w:rPr>
          <w:rFonts w:ascii="Times New Roman" w:hAnsi="Times New Roman"/>
          <w:sz w:val="24"/>
          <w:szCs w:val="24"/>
        </w:rPr>
        <w:t xml:space="preserve"> to either utilize available </w:t>
      </w:r>
      <w:r w:rsidR="00DC067F" w:rsidRPr="00733597">
        <w:rPr>
          <w:rFonts w:ascii="Times New Roman" w:hAnsi="Times New Roman"/>
          <w:sz w:val="24"/>
          <w:szCs w:val="24"/>
        </w:rPr>
        <w:t xml:space="preserve">capital </w:t>
      </w:r>
      <w:r w:rsidR="00C40E58" w:rsidRPr="00733597">
        <w:rPr>
          <w:rFonts w:ascii="Times New Roman" w:hAnsi="Times New Roman"/>
          <w:sz w:val="24"/>
          <w:szCs w:val="24"/>
        </w:rPr>
        <w:t>replace</w:t>
      </w:r>
      <w:r w:rsidR="00DD006D" w:rsidRPr="00733597">
        <w:rPr>
          <w:rFonts w:ascii="Times New Roman" w:hAnsi="Times New Roman"/>
          <w:sz w:val="24"/>
          <w:szCs w:val="24"/>
        </w:rPr>
        <w:t>ment</w:t>
      </w:r>
      <w:r w:rsidR="00C40E58" w:rsidRPr="00733597">
        <w:rPr>
          <w:rFonts w:ascii="Times New Roman" w:hAnsi="Times New Roman"/>
          <w:sz w:val="24"/>
          <w:szCs w:val="24"/>
        </w:rPr>
        <w:t xml:space="preserve"> reserves</w:t>
      </w:r>
      <w:r w:rsidR="00DC067F" w:rsidRPr="00733597">
        <w:rPr>
          <w:rFonts w:ascii="Times New Roman" w:hAnsi="Times New Roman"/>
          <w:sz w:val="24"/>
          <w:szCs w:val="24"/>
        </w:rPr>
        <w:t xml:space="preserve"> to fund ongoing capital repair and replacement needs or to periodically recapitalize as lifecycle improvements become necessary</w:t>
      </w:r>
      <w:r w:rsidR="00AD131C">
        <w:rPr>
          <w:rFonts w:ascii="Times New Roman" w:hAnsi="Times New Roman"/>
          <w:sz w:val="24"/>
          <w:szCs w:val="24"/>
        </w:rPr>
        <w:t xml:space="preserve">. </w:t>
      </w:r>
    </w:p>
    <w:p w14:paraId="5E2AD911" w14:textId="77777777" w:rsidR="00CA6A59" w:rsidRDefault="00CA6A59" w:rsidP="00CA6A59">
      <w:pPr>
        <w:pStyle w:val="CommentText"/>
        <w:spacing w:after="120" w:line="276" w:lineRule="auto"/>
        <w:rPr>
          <w:rFonts w:ascii="Times New Roman" w:hAnsi="Times New Roman"/>
          <w:sz w:val="24"/>
          <w:szCs w:val="24"/>
        </w:rPr>
      </w:pPr>
    </w:p>
    <w:p w14:paraId="0C242C73" w14:textId="6698BD68" w:rsidR="00CA6A59" w:rsidRDefault="00CA6A59" w:rsidP="00794828">
      <w:pPr>
        <w:pStyle w:val="CommentText"/>
        <w:numPr>
          <w:ilvl w:val="0"/>
          <w:numId w:val="17"/>
        </w:numPr>
        <w:spacing w:after="120" w:line="276" w:lineRule="auto"/>
        <w:ind w:left="360"/>
        <w:rPr>
          <w:rFonts w:ascii="Times New Roman" w:hAnsi="Times New Roman"/>
          <w:sz w:val="24"/>
          <w:szCs w:val="24"/>
        </w:rPr>
      </w:pPr>
      <w:r w:rsidRPr="00CA6A59">
        <w:rPr>
          <w:rFonts w:ascii="Times New Roman" w:hAnsi="Times New Roman"/>
          <w:b/>
          <w:sz w:val="24"/>
          <w:szCs w:val="24"/>
        </w:rPr>
        <w:t>Replacement</w:t>
      </w:r>
      <w:r w:rsidR="005C5FD8">
        <w:rPr>
          <w:rFonts w:ascii="Times New Roman" w:hAnsi="Times New Roman"/>
          <w:b/>
          <w:sz w:val="24"/>
          <w:szCs w:val="24"/>
        </w:rPr>
        <w:t xml:space="preserve"> Reserve</w:t>
      </w:r>
      <w:r w:rsidRPr="00CA6A59">
        <w:rPr>
          <w:rFonts w:ascii="Times New Roman" w:hAnsi="Times New Roman"/>
          <w:b/>
          <w:sz w:val="24"/>
          <w:szCs w:val="24"/>
        </w:rPr>
        <w:t>.</w:t>
      </w:r>
      <w:r w:rsidRPr="00CA6A59">
        <w:rPr>
          <w:rFonts w:ascii="Times New Roman" w:hAnsi="Times New Roman"/>
          <w:sz w:val="24"/>
          <w:szCs w:val="24"/>
        </w:rPr>
        <w:t xml:space="preserve"> The Project Owner shall establish and maintain a replacement reserve in an interest-bearing account to aid in funding extraordinary maintenance and repair and replacement of capital items in accordance with applicable regulations. The reserve must be built up to and maintained at a level determined by HUD to be sufficient to meet projected </w:t>
      </w:r>
      <w:r w:rsidR="00A46AC0">
        <w:rPr>
          <w:rFonts w:ascii="Times New Roman" w:hAnsi="Times New Roman"/>
          <w:sz w:val="24"/>
          <w:szCs w:val="24"/>
        </w:rPr>
        <w:t>need</w:t>
      </w:r>
      <w:r w:rsidRPr="00CA6A59">
        <w:rPr>
          <w:rFonts w:ascii="Times New Roman" w:hAnsi="Times New Roman"/>
          <w:sz w:val="24"/>
          <w:szCs w:val="24"/>
        </w:rPr>
        <w:t xml:space="preserve">s. For FHA transactions, </w:t>
      </w:r>
      <w:r w:rsidR="005C5FD8">
        <w:rPr>
          <w:rFonts w:ascii="Times New Roman" w:hAnsi="Times New Roman"/>
          <w:sz w:val="24"/>
          <w:szCs w:val="24"/>
        </w:rPr>
        <w:t>r</w:t>
      </w:r>
      <w:r w:rsidRPr="00CA6A59">
        <w:rPr>
          <w:rFonts w:ascii="Times New Roman" w:hAnsi="Times New Roman"/>
          <w:sz w:val="24"/>
          <w:szCs w:val="24"/>
        </w:rPr>
        <w:t xml:space="preserve">eplacement </w:t>
      </w:r>
      <w:r w:rsidR="005C5FD8">
        <w:rPr>
          <w:rFonts w:ascii="Times New Roman" w:hAnsi="Times New Roman"/>
          <w:sz w:val="24"/>
          <w:szCs w:val="24"/>
        </w:rPr>
        <w:t>r</w:t>
      </w:r>
      <w:r w:rsidRPr="00CA6A59">
        <w:rPr>
          <w:rFonts w:ascii="Times New Roman" w:hAnsi="Times New Roman"/>
          <w:sz w:val="24"/>
          <w:szCs w:val="24"/>
        </w:rPr>
        <w:t xml:space="preserve">eserves shall be maintained in accordance with the FHA Regulatory Agreement. For all other transactions, </w:t>
      </w:r>
      <w:r w:rsidR="005C5FD8">
        <w:rPr>
          <w:rFonts w:ascii="Times New Roman" w:hAnsi="Times New Roman"/>
          <w:sz w:val="24"/>
          <w:szCs w:val="24"/>
        </w:rPr>
        <w:t>r</w:t>
      </w:r>
      <w:r w:rsidRPr="00CA6A59">
        <w:rPr>
          <w:rFonts w:ascii="Times New Roman" w:hAnsi="Times New Roman"/>
          <w:sz w:val="24"/>
          <w:szCs w:val="24"/>
        </w:rPr>
        <w:t xml:space="preserve">eplacement </w:t>
      </w:r>
      <w:r w:rsidR="005C5FD8">
        <w:rPr>
          <w:rFonts w:ascii="Times New Roman" w:hAnsi="Times New Roman"/>
          <w:sz w:val="24"/>
          <w:szCs w:val="24"/>
        </w:rPr>
        <w:t>r</w:t>
      </w:r>
      <w:r w:rsidRPr="00CA6A59">
        <w:rPr>
          <w:rFonts w:ascii="Times New Roman" w:hAnsi="Times New Roman"/>
          <w:sz w:val="24"/>
          <w:szCs w:val="24"/>
        </w:rPr>
        <w:t>eserves shall be maintained in a bank account or similar instrument, as approved by HUD, where funds will be held by the Project Owner or mortgagee and may be drawn from the reserve account and used subject to HUD guidelines</w:t>
      </w:r>
      <w:r w:rsidR="0043258D">
        <w:rPr>
          <w:rFonts w:ascii="Times New Roman" w:hAnsi="Times New Roman"/>
          <w:sz w:val="24"/>
          <w:szCs w:val="24"/>
        </w:rPr>
        <w:t xml:space="preserve">. </w:t>
      </w:r>
    </w:p>
    <w:p w14:paraId="22DE3843" w14:textId="77777777" w:rsidR="000106E1" w:rsidRPr="00CA6A59" w:rsidRDefault="000106E1" w:rsidP="000106E1">
      <w:pPr>
        <w:pStyle w:val="CommentText"/>
        <w:spacing w:after="120" w:line="276" w:lineRule="auto"/>
        <w:rPr>
          <w:rFonts w:ascii="Times New Roman" w:hAnsi="Times New Roman"/>
          <w:sz w:val="24"/>
          <w:szCs w:val="24"/>
        </w:rPr>
      </w:pPr>
    </w:p>
    <w:p w14:paraId="7C38C8E1" w14:textId="4286DA31" w:rsidR="003741B7" w:rsidRPr="00A46AC0" w:rsidRDefault="003741B7" w:rsidP="00794828">
      <w:pPr>
        <w:pStyle w:val="CommentText"/>
        <w:numPr>
          <w:ilvl w:val="0"/>
          <w:numId w:val="17"/>
        </w:numPr>
        <w:spacing w:after="120" w:line="276" w:lineRule="auto"/>
        <w:ind w:left="360"/>
        <w:rPr>
          <w:rFonts w:ascii="Times New Roman" w:hAnsi="Times New Roman"/>
          <w:b/>
          <w:sz w:val="24"/>
          <w:szCs w:val="24"/>
        </w:rPr>
      </w:pPr>
      <w:r w:rsidRPr="000106E1">
        <w:rPr>
          <w:rFonts w:ascii="Times New Roman" w:hAnsi="Times New Roman"/>
          <w:b/>
          <w:sz w:val="24"/>
          <w:szCs w:val="24"/>
        </w:rPr>
        <w:t>Operating Reserve</w:t>
      </w:r>
      <w:r w:rsidR="000106E1" w:rsidRPr="000106E1">
        <w:rPr>
          <w:rFonts w:ascii="Times New Roman" w:hAnsi="Times New Roman"/>
          <w:b/>
          <w:sz w:val="24"/>
          <w:szCs w:val="24"/>
        </w:rPr>
        <w:t xml:space="preserve">. </w:t>
      </w:r>
      <w:r w:rsidR="000106E1" w:rsidRPr="000106E1">
        <w:rPr>
          <w:rFonts w:ascii="Times New Roman" w:hAnsi="Times New Roman"/>
          <w:sz w:val="24"/>
          <w:szCs w:val="24"/>
        </w:rPr>
        <w:t>The</w:t>
      </w:r>
      <w:r w:rsidR="000106E1">
        <w:rPr>
          <w:rFonts w:ascii="Times New Roman" w:hAnsi="Times New Roman"/>
          <w:b/>
          <w:sz w:val="24"/>
          <w:szCs w:val="24"/>
        </w:rPr>
        <w:t xml:space="preserve"> </w:t>
      </w:r>
      <w:r w:rsidR="000106E1" w:rsidRPr="000106E1">
        <w:rPr>
          <w:rFonts w:ascii="Times New Roman" w:hAnsi="Times New Roman"/>
          <w:sz w:val="24"/>
          <w:szCs w:val="24"/>
        </w:rPr>
        <w:t>Project</w:t>
      </w:r>
      <w:r w:rsidR="000106E1">
        <w:rPr>
          <w:rFonts w:ascii="Times New Roman" w:hAnsi="Times New Roman"/>
          <w:sz w:val="24"/>
          <w:szCs w:val="24"/>
        </w:rPr>
        <w:t xml:space="preserve"> Owner shall</w:t>
      </w:r>
      <w:r w:rsidR="00423590">
        <w:rPr>
          <w:rFonts w:ascii="Times New Roman" w:hAnsi="Times New Roman"/>
          <w:sz w:val="24"/>
          <w:szCs w:val="24"/>
        </w:rPr>
        <w:t xml:space="preserve"> </w:t>
      </w:r>
      <w:r w:rsidR="000106E1">
        <w:rPr>
          <w:rFonts w:ascii="Times New Roman" w:hAnsi="Times New Roman"/>
          <w:sz w:val="24"/>
          <w:szCs w:val="24"/>
        </w:rPr>
        <w:t>establish and maintain</w:t>
      </w:r>
      <w:r w:rsidR="000106E1" w:rsidRPr="000106E1">
        <w:rPr>
          <w:rFonts w:ascii="Times New Roman" w:hAnsi="Times New Roman"/>
          <w:sz w:val="24"/>
          <w:szCs w:val="24"/>
        </w:rPr>
        <w:t xml:space="preserve"> a</w:t>
      </w:r>
      <w:r w:rsidR="00554D55">
        <w:rPr>
          <w:rFonts w:ascii="Times New Roman" w:hAnsi="Times New Roman"/>
          <w:sz w:val="24"/>
          <w:szCs w:val="24"/>
        </w:rPr>
        <w:t xml:space="preserve"> Project </w:t>
      </w:r>
      <w:r w:rsidR="000106E1" w:rsidRPr="000106E1">
        <w:rPr>
          <w:rFonts w:ascii="Times New Roman" w:hAnsi="Times New Roman"/>
          <w:sz w:val="24"/>
          <w:szCs w:val="24"/>
        </w:rPr>
        <w:t>Operating Reserve account in an interest-bearing account</w:t>
      </w:r>
      <w:r w:rsidR="00423590" w:rsidRPr="00423590">
        <w:rPr>
          <w:rFonts w:ascii="Times New Roman" w:hAnsi="Times New Roman"/>
          <w:sz w:val="24"/>
          <w:szCs w:val="24"/>
        </w:rPr>
        <w:t xml:space="preserve"> </w:t>
      </w:r>
      <w:r w:rsidR="00423590">
        <w:rPr>
          <w:rFonts w:ascii="Times New Roman" w:hAnsi="Times New Roman"/>
          <w:sz w:val="24"/>
          <w:szCs w:val="24"/>
        </w:rPr>
        <w:t>to be used for project purposes</w:t>
      </w:r>
      <w:r w:rsidR="0043258D">
        <w:rPr>
          <w:rFonts w:ascii="Times New Roman" w:hAnsi="Times New Roman"/>
          <w:sz w:val="24"/>
          <w:szCs w:val="24"/>
        </w:rPr>
        <w:t xml:space="preserve">. </w:t>
      </w:r>
      <w:r w:rsidR="00423590">
        <w:rPr>
          <w:rFonts w:ascii="Times New Roman" w:hAnsi="Times New Roman"/>
          <w:sz w:val="24"/>
          <w:szCs w:val="24"/>
        </w:rPr>
        <w:t xml:space="preserve">Surplus cash distributions are prohibited during any period when the balance in the Operating Reserve is less than </w:t>
      </w:r>
      <w:r w:rsidR="000106E1" w:rsidRPr="000106E1">
        <w:rPr>
          <w:rFonts w:ascii="Times New Roman" w:hAnsi="Times New Roman"/>
          <w:sz w:val="24"/>
          <w:szCs w:val="24"/>
        </w:rPr>
        <w:t>$250 per unit</w:t>
      </w:r>
      <w:r w:rsidR="0043258D">
        <w:rPr>
          <w:rFonts w:ascii="Times New Roman" w:hAnsi="Times New Roman"/>
          <w:sz w:val="24"/>
          <w:szCs w:val="24"/>
        </w:rPr>
        <w:t xml:space="preserve">. </w:t>
      </w:r>
      <w:r w:rsidR="0086324D">
        <w:rPr>
          <w:rFonts w:ascii="Times New Roman" w:hAnsi="Times New Roman"/>
          <w:sz w:val="24"/>
          <w:szCs w:val="24"/>
        </w:rPr>
        <w:t xml:space="preserve">The Project Operating Reserve is separate and apart from the </w:t>
      </w:r>
      <w:r w:rsidR="005C5FD8">
        <w:rPr>
          <w:rFonts w:ascii="Times New Roman" w:hAnsi="Times New Roman"/>
          <w:sz w:val="24"/>
          <w:szCs w:val="24"/>
        </w:rPr>
        <w:t>r</w:t>
      </w:r>
      <w:r w:rsidR="0086324D">
        <w:rPr>
          <w:rFonts w:ascii="Times New Roman" w:hAnsi="Times New Roman"/>
          <w:sz w:val="24"/>
          <w:szCs w:val="24"/>
        </w:rPr>
        <w:t>eplacement</w:t>
      </w:r>
      <w:r w:rsidR="005C5FD8">
        <w:rPr>
          <w:rFonts w:ascii="Times New Roman" w:hAnsi="Times New Roman"/>
          <w:sz w:val="24"/>
          <w:szCs w:val="24"/>
        </w:rPr>
        <w:t xml:space="preserve"> reserve</w:t>
      </w:r>
      <w:r w:rsidR="0086324D">
        <w:rPr>
          <w:rFonts w:ascii="Times New Roman" w:hAnsi="Times New Roman"/>
          <w:sz w:val="24"/>
          <w:szCs w:val="24"/>
        </w:rPr>
        <w:t xml:space="preserve">. </w:t>
      </w:r>
      <w:r w:rsidR="00C11543">
        <w:rPr>
          <w:rFonts w:ascii="Times New Roman" w:hAnsi="Times New Roman"/>
          <w:sz w:val="24"/>
          <w:szCs w:val="24"/>
        </w:rPr>
        <w:t xml:space="preserve">The purpose of the Project Operating Reserve is intended to provide a measure of financial stability and may be used to meet deficiencies arising from time to time as a result of delinquent receivables </w:t>
      </w:r>
      <w:r w:rsidR="00AF4ADD">
        <w:rPr>
          <w:rFonts w:ascii="Times New Roman" w:hAnsi="Times New Roman"/>
          <w:sz w:val="24"/>
          <w:szCs w:val="24"/>
        </w:rPr>
        <w:t>or</w:t>
      </w:r>
      <w:r w:rsidR="00C11543">
        <w:rPr>
          <w:rFonts w:ascii="Times New Roman" w:hAnsi="Times New Roman"/>
          <w:sz w:val="24"/>
          <w:szCs w:val="24"/>
        </w:rPr>
        <w:t xml:space="preserve"> other contingencies</w:t>
      </w:r>
      <w:r w:rsidR="00AF4ADD">
        <w:rPr>
          <w:rFonts w:ascii="Times New Roman" w:hAnsi="Times New Roman"/>
          <w:sz w:val="24"/>
          <w:szCs w:val="24"/>
        </w:rPr>
        <w:t>.</w:t>
      </w:r>
      <w:r w:rsidR="00C11543">
        <w:rPr>
          <w:rFonts w:ascii="Times New Roman" w:hAnsi="Times New Roman"/>
          <w:sz w:val="24"/>
          <w:szCs w:val="24"/>
        </w:rPr>
        <w:t xml:space="preserve"> </w:t>
      </w:r>
      <w:r w:rsidR="000106E1" w:rsidRPr="00554D55">
        <w:rPr>
          <w:rFonts w:ascii="Times New Roman" w:hAnsi="Times New Roman"/>
          <w:sz w:val="24"/>
          <w:szCs w:val="24"/>
        </w:rPr>
        <w:t xml:space="preserve">HUD will monitor </w:t>
      </w:r>
      <w:r w:rsidR="00554D55" w:rsidRPr="00554D55">
        <w:rPr>
          <w:rFonts w:ascii="Times New Roman" w:hAnsi="Times New Roman"/>
          <w:sz w:val="24"/>
          <w:szCs w:val="24"/>
        </w:rPr>
        <w:t xml:space="preserve">proper funding of the Operating Reserve when reviewing the </w:t>
      </w:r>
      <w:r w:rsidR="000078CE">
        <w:rPr>
          <w:rFonts w:ascii="Times New Roman" w:hAnsi="Times New Roman"/>
          <w:sz w:val="24"/>
          <w:szCs w:val="24"/>
        </w:rPr>
        <w:t>Project Owner</w:t>
      </w:r>
      <w:r w:rsidR="00554D55" w:rsidRPr="00554D55">
        <w:rPr>
          <w:rFonts w:ascii="Times New Roman" w:hAnsi="Times New Roman"/>
          <w:sz w:val="24"/>
          <w:szCs w:val="24"/>
        </w:rPr>
        <w:t>’s annual financial statements</w:t>
      </w:r>
      <w:r w:rsidR="0043258D">
        <w:rPr>
          <w:rFonts w:ascii="Times New Roman" w:hAnsi="Times New Roman"/>
          <w:sz w:val="24"/>
          <w:szCs w:val="24"/>
        </w:rPr>
        <w:t xml:space="preserve">. </w:t>
      </w:r>
      <w:r w:rsidR="004A575F" w:rsidRPr="00A46AC0">
        <w:rPr>
          <w:rFonts w:ascii="Times New Roman" w:hAnsi="Times New Roman"/>
          <w:sz w:val="24"/>
          <w:szCs w:val="24"/>
        </w:rPr>
        <w:t xml:space="preserve">The Project Owner is not required to maintain a distinct Operating Reserve if an operating reserve is required </w:t>
      </w:r>
      <w:r w:rsidR="00A46AC0">
        <w:rPr>
          <w:rFonts w:ascii="Times New Roman" w:hAnsi="Times New Roman"/>
          <w:sz w:val="24"/>
          <w:szCs w:val="24"/>
        </w:rPr>
        <w:t xml:space="preserve">by a third-party source of </w:t>
      </w:r>
      <w:r w:rsidR="004A575F" w:rsidRPr="00A46AC0">
        <w:rPr>
          <w:rFonts w:ascii="Times New Roman" w:hAnsi="Times New Roman"/>
          <w:sz w:val="24"/>
          <w:szCs w:val="24"/>
        </w:rPr>
        <w:t xml:space="preserve">financing (e.g., </w:t>
      </w:r>
      <w:r w:rsidR="00A46AC0">
        <w:rPr>
          <w:rFonts w:ascii="Times New Roman" w:hAnsi="Times New Roman"/>
          <w:sz w:val="24"/>
          <w:szCs w:val="24"/>
        </w:rPr>
        <w:t xml:space="preserve">a lender or a </w:t>
      </w:r>
      <w:r w:rsidR="004A575F" w:rsidRPr="00A46AC0">
        <w:rPr>
          <w:rFonts w:ascii="Times New Roman" w:hAnsi="Times New Roman"/>
          <w:sz w:val="24"/>
          <w:szCs w:val="24"/>
        </w:rPr>
        <w:t>LIHTC</w:t>
      </w:r>
      <w:r w:rsidR="00A46AC0">
        <w:rPr>
          <w:rFonts w:ascii="Times New Roman" w:hAnsi="Times New Roman"/>
          <w:sz w:val="24"/>
          <w:szCs w:val="24"/>
        </w:rPr>
        <w:t>-motivated equity investor</w:t>
      </w:r>
      <w:r w:rsidR="004A575F" w:rsidRPr="00A46AC0">
        <w:rPr>
          <w:rFonts w:ascii="Times New Roman" w:hAnsi="Times New Roman"/>
          <w:sz w:val="24"/>
          <w:szCs w:val="24"/>
        </w:rPr>
        <w:t xml:space="preserve">) as long as the </w:t>
      </w:r>
      <w:r w:rsidR="00B663E3">
        <w:rPr>
          <w:rFonts w:ascii="Times New Roman" w:hAnsi="Times New Roman"/>
          <w:sz w:val="24"/>
          <w:szCs w:val="24"/>
        </w:rPr>
        <w:t xml:space="preserve">Covered </w:t>
      </w:r>
      <w:r w:rsidR="004A575F" w:rsidRPr="00A46AC0">
        <w:rPr>
          <w:rFonts w:ascii="Times New Roman" w:hAnsi="Times New Roman"/>
          <w:sz w:val="24"/>
          <w:szCs w:val="24"/>
        </w:rPr>
        <w:t>Project maintains the aforementioned balance.</w:t>
      </w:r>
    </w:p>
    <w:p w14:paraId="7F57C4B5" w14:textId="77777777" w:rsidR="00733597" w:rsidRPr="00733597" w:rsidRDefault="00733597" w:rsidP="00733597">
      <w:pPr>
        <w:pStyle w:val="CommentText"/>
        <w:spacing w:after="120" w:line="276" w:lineRule="auto"/>
        <w:rPr>
          <w:rFonts w:ascii="Times New Roman" w:hAnsi="Times New Roman"/>
          <w:sz w:val="24"/>
          <w:szCs w:val="24"/>
        </w:rPr>
      </w:pPr>
    </w:p>
    <w:p w14:paraId="7F57C4B6" w14:textId="3CECF84B" w:rsidR="00D85985" w:rsidRDefault="00A14DCD" w:rsidP="00794828">
      <w:pPr>
        <w:numPr>
          <w:ilvl w:val="0"/>
          <w:numId w:val="17"/>
        </w:numPr>
        <w:spacing w:after="120"/>
        <w:ind w:left="360"/>
        <w:contextualSpacing/>
        <w:rPr>
          <w:szCs w:val="24"/>
        </w:rPr>
      </w:pPr>
      <w:r w:rsidRPr="00733597">
        <w:rPr>
          <w:b/>
          <w:szCs w:val="24"/>
        </w:rPr>
        <w:t xml:space="preserve">Green Building and Energy Efficiency. </w:t>
      </w:r>
      <w:r w:rsidR="00746CE3" w:rsidRPr="00733597">
        <w:rPr>
          <w:szCs w:val="24"/>
        </w:rPr>
        <w:t>I</w:t>
      </w:r>
      <w:r w:rsidRPr="00733597">
        <w:rPr>
          <w:szCs w:val="24"/>
        </w:rPr>
        <w:t>f systems and appliances are being replaced as part of the Work</w:t>
      </w:r>
      <w:r w:rsidRPr="00077064">
        <w:rPr>
          <w:szCs w:val="24"/>
        </w:rPr>
        <w:t xml:space="preserve"> identified in the approved </w:t>
      </w:r>
      <w:r w:rsidR="00452A24">
        <w:rPr>
          <w:szCs w:val="24"/>
        </w:rPr>
        <w:t xml:space="preserve">Conversion </w:t>
      </w:r>
      <w:r w:rsidRPr="00077064">
        <w:rPr>
          <w:szCs w:val="24"/>
        </w:rPr>
        <w:t>Plan, at a minimum</w:t>
      </w:r>
      <w:r w:rsidR="000078CE">
        <w:rPr>
          <w:szCs w:val="24"/>
        </w:rPr>
        <w:t xml:space="preserve"> the</w:t>
      </w:r>
      <w:r w:rsidRPr="00077064">
        <w:rPr>
          <w:szCs w:val="24"/>
        </w:rPr>
        <w:t xml:space="preserve"> </w:t>
      </w:r>
      <w:r w:rsidR="000078CE">
        <w:rPr>
          <w:szCs w:val="24"/>
        </w:rPr>
        <w:t xml:space="preserve">Project </w:t>
      </w:r>
      <w:r w:rsidR="00CA79EC">
        <w:rPr>
          <w:szCs w:val="24"/>
        </w:rPr>
        <w:t>Owner</w:t>
      </w:r>
      <w:r w:rsidRPr="00077064">
        <w:rPr>
          <w:szCs w:val="24"/>
        </w:rPr>
        <w:t xml:space="preserve"> shall complete replacements with Energy Star®, WaterSense® or Federal Energy Management Program (FEMP)-designated products and appliances.</w:t>
      </w:r>
      <w:r w:rsidRPr="00077064">
        <w:rPr>
          <w:szCs w:val="24"/>
          <w:vertAlign w:val="superscript"/>
        </w:rPr>
        <w:footnoteReference w:id="4"/>
      </w:r>
      <w:r w:rsidRPr="00077064">
        <w:rPr>
          <w:szCs w:val="24"/>
        </w:rPr>
        <w:t xml:space="preserve"> Additionally, </w:t>
      </w:r>
      <w:r w:rsidR="000078CE">
        <w:rPr>
          <w:szCs w:val="24"/>
        </w:rPr>
        <w:t xml:space="preserve">the Project </w:t>
      </w:r>
      <w:r w:rsidR="00CA79EC">
        <w:rPr>
          <w:szCs w:val="24"/>
        </w:rPr>
        <w:t>Owner</w:t>
      </w:r>
      <w:r w:rsidRPr="00077064">
        <w:rPr>
          <w:szCs w:val="24"/>
        </w:rPr>
        <w:t xml:space="preserve"> shall utilize the most energy- and water-efficient options that are financially feasible and that are found to be cost-effective. </w:t>
      </w:r>
      <w:r w:rsidR="000078CE">
        <w:rPr>
          <w:szCs w:val="24"/>
        </w:rPr>
        <w:t>Project Owner</w:t>
      </w:r>
      <w:r w:rsidRPr="00077064">
        <w:rPr>
          <w:szCs w:val="24"/>
        </w:rPr>
        <w:t xml:space="preserve">s are strongly encouraged, for all </w:t>
      </w:r>
      <w:r w:rsidR="003C5379">
        <w:rPr>
          <w:szCs w:val="24"/>
        </w:rPr>
        <w:t>Converting</w:t>
      </w:r>
      <w:r w:rsidRPr="00077064">
        <w:rPr>
          <w:szCs w:val="24"/>
        </w:rPr>
        <w:t xml:space="preserve"> </w:t>
      </w:r>
      <w:r w:rsidR="005B7BE7">
        <w:rPr>
          <w:szCs w:val="24"/>
        </w:rPr>
        <w:t>P</w:t>
      </w:r>
      <w:r w:rsidRPr="00077064">
        <w:rPr>
          <w:szCs w:val="24"/>
        </w:rPr>
        <w:t>rojects, to scope rehabilitation and ongoing replacements and operations t</w:t>
      </w:r>
      <w:r w:rsidR="00746CE3">
        <w:rPr>
          <w:szCs w:val="24"/>
        </w:rPr>
        <w:t>o</w:t>
      </w:r>
      <w:r w:rsidRPr="00077064">
        <w:rPr>
          <w:szCs w:val="24"/>
        </w:rPr>
        <w:t xml:space="preserve"> utilize the components that the CNA indicates </w:t>
      </w:r>
      <w:r w:rsidR="009A0E0B" w:rsidRPr="003E57D7">
        <w:rPr>
          <w:szCs w:val="24"/>
        </w:rPr>
        <w:t>will</w:t>
      </w:r>
      <w:r w:rsidR="009A0E0B">
        <w:rPr>
          <w:szCs w:val="24"/>
        </w:rPr>
        <w:t xml:space="preserve"> </w:t>
      </w:r>
      <w:r w:rsidR="009A0E0B" w:rsidRPr="003E57D7">
        <w:rPr>
          <w:szCs w:val="24"/>
        </w:rPr>
        <w:t xml:space="preserve">improve indoor air quality, </w:t>
      </w:r>
      <w:r w:rsidR="003C5379">
        <w:rPr>
          <w:szCs w:val="24"/>
        </w:rPr>
        <w:t xml:space="preserve">prepare the property </w:t>
      </w:r>
      <w:r w:rsidR="00EB5347">
        <w:rPr>
          <w:szCs w:val="24"/>
        </w:rPr>
        <w:t xml:space="preserve">for </w:t>
      </w:r>
      <w:r w:rsidR="009A0E0B">
        <w:rPr>
          <w:szCs w:val="24"/>
        </w:rPr>
        <w:t xml:space="preserve">known or anticipated natural hazards, generate utility cost savings for residents or common areas, and/or </w:t>
      </w:r>
      <w:r w:rsidR="009A0E0B" w:rsidRPr="003E57D7">
        <w:rPr>
          <w:szCs w:val="24"/>
        </w:rPr>
        <w:t>reduce overall environmental impact,</w:t>
      </w:r>
      <w:r w:rsidR="009A0E0B">
        <w:rPr>
          <w:szCs w:val="24"/>
        </w:rPr>
        <w:t xml:space="preserve"> </w:t>
      </w:r>
      <w:r w:rsidR="009A0E0B" w:rsidRPr="003E57D7">
        <w:rPr>
          <w:szCs w:val="24"/>
        </w:rPr>
        <w:t xml:space="preserve">where those components </w:t>
      </w:r>
      <w:r w:rsidR="009A0E0B">
        <w:rPr>
          <w:szCs w:val="24"/>
        </w:rPr>
        <w:t>are determined to be cost-effective</w:t>
      </w:r>
      <w:r w:rsidR="00CC6247">
        <w:rPr>
          <w:szCs w:val="24"/>
        </w:rPr>
        <w:t xml:space="preserve"> and</w:t>
      </w:r>
      <w:r w:rsidR="009A0E0B">
        <w:rPr>
          <w:szCs w:val="24"/>
        </w:rPr>
        <w:t xml:space="preserve"> </w:t>
      </w:r>
      <w:r w:rsidRPr="00077064">
        <w:rPr>
          <w:szCs w:val="24"/>
        </w:rPr>
        <w:t xml:space="preserve">consistent with the principles and best practices of the green building industry. </w:t>
      </w:r>
    </w:p>
    <w:p w14:paraId="7F57C4B9" w14:textId="77777777" w:rsidR="00011A99" w:rsidRPr="00011A99" w:rsidRDefault="00011A99" w:rsidP="00011A99">
      <w:pPr>
        <w:spacing w:after="120"/>
        <w:contextualSpacing/>
        <w:rPr>
          <w:szCs w:val="24"/>
        </w:rPr>
      </w:pPr>
    </w:p>
    <w:p w14:paraId="54EC7376" w14:textId="57D9EB3B" w:rsidR="001E0A21" w:rsidRPr="008812FA" w:rsidRDefault="00CA79EC" w:rsidP="00794828">
      <w:pPr>
        <w:numPr>
          <w:ilvl w:val="0"/>
          <w:numId w:val="17"/>
        </w:numPr>
        <w:spacing w:after="12"/>
        <w:ind w:left="360"/>
        <w:rPr>
          <w:szCs w:val="24"/>
        </w:rPr>
      </w:pPr>
      <w:r w:rsidRPr="008812FA">
        <w:rPr>
          <w:b/>
          <w:szCs w:val="24"/>
        </w:rPr>
        <w:t>Owner</w:t>
      </w:r>
      <w:r w:rsidR="00D85985" w:rsidRPr="008812FA">
        <w:rPr>
          <w:b/>
          <w:szCs w:val="24"/>
        </w:rPr>
        <w:t>ship</w:t>
      </w:r>
      <w:r w:rsidR="00D0310A" w:rsidRPr="008812FA">
        <w:rPr>
          <w:b/>
          <w:szCs w:val="24"/>
        </w:rPr>
        <w:t xml:space="preserve"> and Control</w:t>
      </w:r>
      <w:r w:rsidR="0043258D">
        <w:rPr>
          <w:b/>
          <w:szCs w:val="24"/>
        </w:rPr>
        <w:t xml:space="preserve">. </w:t>
      </w:r>
      <w:r w:rsidR="00D1495D">
        <w:rPr>
          <w:szCs w:val="24"/>
        </w:rPr>
        <w:t xml:space="preserve">Through the maturity date of the </w:t>
      </w:r>
      <w:r w:rsidR="00D1495D" w:rsidRPr="00077064">
        <w:rPr>
          <w:szCs w:val="24"/>
        </w:rPr>
        <w:t>Converting Project</w:t>
      </w:r>
      <w:r w:rsidR="00D1495D">
        <w:rPr>
          <w:szCs w:val="24"/>
        </w:rPr>
        <w:t>’</w:t>
      </w:r>
      <w:r w:rsidR="00D1495D" w:rsidRPr="00077064">
        <w:rPr>
          <w:szCs w:val="24"/>
        </w:rPr>
        <w:t xml:space="preserve">s </w:t>
      </w:r>
      <w:r w:rsidR="00D1495D">
        <w:rPr>
          <w:szCs w:val="24"/>
        </w:rPr>
        <w:t>Capital Advance Mortgage Note</w:t>
      </w:r>
      <w:r w:rsidR="00526C7C">
        <w:rPr>
          <w:szCs w:val="24"/>
        </w:rPr>
        <w:t>,</w:t>
      </w:r>
      <w:r w:rsidR="00D1495D" w:rsidRPr="008812FA">
        <w:rPr>
          <w:szCs w:val="24"/>
        </w:rPr>
        <w:t xml:space="preserve"> </w:t>
      </w:r>
      <w:r w:rsidR="00D0310A" w:rsidRPr="008812FA">
        <w:rPr>
          <w:szCs w:val="24"/>
        </w:rPr>
        <w:t xml:space="preserve">HUD will require </w:t>
      </w:r>
      <w:r w:rsidR="009C6007">
        <w:rPr>
          <w:szCs w:val="24"/>
        </w:rPr>
        <w:t>o</w:t>
      </w:r>
      <w:r w:rsidRPr="008812FA">
        <w:rPr>
          <w:szCs w:val="24"/>
        </w:rPr>
        <w:t>wner</w:t>
      </w:r>
      <w:r w:rsidR="00D0310A" w:rsidRPr="008812FA">
        <w:rPr>
          <w:szCs w:val="24"/>
        </w:rPr>
        <w:t>ship or control of the Covered Project by a non-profit entity.</w:t>
      </w:r>
      <w:r w:rsidR="00914AA4" w:rsidRPr="00914AA4">
        <w:rPr>
          <w:szCs w:val="24"/>
        </w:rPr>
        <w:t xml:space="preserve"> A non-profit entity is an</w:t>
      </w:r>
      <w:r w:rsidR="00914AA4" w:rsidRPr="0086324D">
        <w:rPr>
          <w:szCs w:val="24"/>
        </w:rPr>
        <w:t xml:space="preserve"> organization that has tax-exempt status under Section 501(c)(3) </w:t>
      </w:r>
      <w:bookmarkStart w:id="141" w:name="_Hlk530159303"/>
      <w:r w:rsidR="00914AA4" w:rsidRPr="0086324D">
        <w:rPr>
          <w:szCs w:val="24"/>
        </w:rPr>
        <w:t xml:space="preserve">or Section 501(c)(4) </w:t>
      </w:r>
      <w:bookmarkEnd w:id="141"/>
      <w:r w:rsidR="00914AA4" w:rsidRPr="0086324D">
        <w:rPr>
          <w:szCs w:val="24"/>
        </w:rPr>
        <w:t xml:space="preserve">of the Internal Revenue Code of 1986 or that is </w:t>
      </w:r>
      <w:bookmarkStart w:id="142" w:name="_Hlk530159341"/>
      <w:r w:rsidR="00CC6247">
        <w:rPr>
          <w:szCs w:val="24"/>
        </w:rPr>
        <w:t xml:space="preserve">a </w:t>
      </w:r>
      <w:r w:rsidR="00914AA4" w:rsidRPr="0086324D">
        <w:rPr>
          <w:szCs w:val="24"/>
        </w:rPr>
        <w:t>non-profit consumer cooperative</w:t>
      </w:r>
      <w:bookmarkEnd w:id="142"/>
      <w:r w:rsidR="00914AA4" w:rsidRPr="0086324D">
        <w:rPr>
          <w:szCs w:val="24"/>
        </w:rPr>
        <w:t xml:space="preserve"> and includes a non-profit entity that is controlled by a public agency. </w:t>
      </w:r>
      <w:bookmarkStart w:id="143" w:name="_Hlk530159560"/>
      <w:r w:rsidR="00D0310A" w:rsidRPr="008812FA">
        <w:rPr>
          <w:szCs w:val="24"/>
        </w:rPr>
        <w:t xml:space="preserve">Subject to HUD review, non-profit entity </w:t>
      </w:r>
      <w:r w:rsidR="00D03E38">
        <w:rPr>
          <w:szCs w:val="24"/>
        </w:rPr>
        <w:t>o</w:t>
      </w:r>
      <w:r w:rsidRPr="008812FA">
        <w:rPr>
          <w:szCs w:val="24"/>
        </w:rPr>
        <w:t>wner</w:t>
      </w:r>
      <w:r w:rsidR="00D0310A" w:rsidRPr="008812FA">
        <w:rPr>
          <w:szCs w:val="24"/>
        </w:rPr>
        <w:t xml:space="preserve">ship or control requirements may be satisfied if a non-profit entity (or entities), directly or through </w:t>
      </w:r>
      <w:r w:rsidR="00526C7C">
        <w:rPr>
          <w:szCs w:val="24"/>
        </w:rPr>
        <w:t xml:space="preserve">an entity wholly owned by the </w:t>
      </w:r>
      <w:r w:rsidR="00526C7C" w:rsidRPr="008812FA">
        <w:rPr>
          <w:szCs w:val="24"/>
        </w:rPr>
        <w:t>non-profit entity (or entities</w:t>
      </w:r>
      <w:r w:rsidR="00526C7C">
        <w:rPr>
          <w:szCs w:val="24"/>
        </w:rPr>
        <w:t>)</w:t>
      </w:r>
      <w:r w:rsidR="00D0310A" w:rsidRPr="008812FA">
        <w:rPr>
          <w:szCs w:val="24"/>
        </w:rPr>
        <w:t xml:space="preserve">: (1) holds a fee simple interest in the real property of the Covered Project; (2) is the lessor under a ground lease with the Project </w:t>
      </w:r>
      <w:r w:rsidRPr="008812FA">
        <w:rPr>
          <w:szCs w:val="24"/>
        </w:rPr>
        <w:t>Owner</w:t>
      </w:r>
      <w:r w:rsidR="00D0310A" w:rsidRPr="008812FA">
        <w:rPr>
          <w:szCs w:val="24"/>
        </w:rPr>
        <w:t>; (3) has the direct or indirect legal authority (via contract, partnership share</w:t>
      </w:r>
      <w:r w:rsidR="00526C7C">
        <w:rPr>
          <w:szCs w:val="24"/>
        </w:rPr>
        <w:t>,</w:t>
      </w:r>
      <w:r w:rsidR="00D0310A" w:rsidRPr="008812FA">
        <w:rPr>
          <w:szCs w:val="24"/>
        </w:rPr>
        <w:t xml:space="preserve"> agreement of an equity partnership, voting rights, or otherwise) to direct the financial and legal interests of the Project </w:t>
      </w:r>
      <w:r w:rsidRPr="008812FA">
        <w:rPr>
          <w:szCs w:val="24"/>
        </w:rPr>
        <w:t>Owner</w:t>
      </w:r>
      <w:r w:rsidR="00D0310A" w:rsidRPr="008812FA">
        <w:rPr>
          <w:szCs w:val="24"/>
        </w:rPr>
        <w:t xml:space="preserve"> with respect to the RAD units; (4) owns 51 percent or more of the general partner interests in a limited partnership or 51 percent or more of the managing member interests in a limited liability company with all powers of a general partner or managing member, as applicable; (5) owns a lesser percentage of the general partner or managing member interests and holds certain control rights as approved by HUD; (6) owns 51 percent or more of all </w:t>
      </w:r>
      <w:r w:rsidR="000078CE">
        <w:rPr>
          <w:szCs w:val="24"/>
        </w:rPr>
        <w:t>o</w:t>
      </w:r>
      <w:r w:rsidRPr="008812FA">
        <w:rPr>
          <w:szCs w:val="24"/>
        </w:rPr>
        <w:t>wner</w:t>
      </w:r>
      <w:r w:rsidR="00D0310A" w:rsidRPr="008812FA">
        <w:rPr>
          <w:szCs w:val="24"/>
        </w:rPr>
        <w:t xml:space="preserve">ship interests in a limited partnership or limited liability company and holds certain control rights as approved by HUD; or (7) other </w:t>
      </w:r>
      <w:r w:rsidR="00D03E38">
        <w:rPr>
          <w:szCs w:val="24"/>
        </w:rPr>
        <w:t>o</w:t>
      </w:r>
      <w:r w:rsidRPr="008812FA">
        <w:rPr>
          <w:szCs w:val="24"/>
        </w:rPr>
        <w:t>wner</w:t>
      </w:r>
      <w:r w:rsidR="00D0310A" w:rsidRPr="008812FA">
        <w:rPr>
          <w:szCs w:val="24"/>
        </w:rPr>
        <w:t>ship and control arrangements approved by HUD.</w:t>
      </w:r>
      <w:bookmarkEnd w:id="143"/>
      <w:r w:rsidR="000812DC">
        <w:rPr>
          <w:szCs w:val="24"/>
        </w:rPr>
        <w:t xml:space="preserve"> Note however, that prior to conversion, the Converting Project must continue to meet the ownership requirements set forth in the Housing Act of 1959, as amended. </w:t>
      </w:r>
    </w:p>
    <w:p w14:paraId="33F954DA" w14:textId="77777777" w:rsidR="002A54F6" w:rsidRPr="002A54F6" w:rsidRDefault="002A54F6" w:rsidP="002A54F6">
      <w:pPr>
        <w:spacing w:after="12"/>
        <w:ind w:left="360"/>
        <w:rPr>
          <w:szCs w:val="24"/>
        </w:rPr>
      </w:pPr>
    </w:p>
    <w:p w14:paraId="48D23AB4" w14:textId="289F3331" w:rsidR="000B5750" w:rsidRPr="000B5750" w:rsidRDefault="00844502" w:rsidP="00794828">
      <w:pPr>
        <w:numPr>
          <w:ilvl w:val="0"/>
          <w:numId w:val="17"/>
        </w:numPr>
        <w:ind w:left="360"/>
        <w:rPr>
          <w:b/>
          <w:szCs w:val="24"/>
        </w:rPr>
      </w:pPr>
      <w:r w:rsidRPr="00011A99">
        <w:rPr>
          <w:b/>
          <w:szCs w:val="24"/>
        </w:rPr>
        <w:t>Elderly Housing Use Agreement.</w:t>
      </w:r>
      <w:r>
        <w:rPr>
          <w:szCs w:val="24"/>
        </w:rPr>
        <w:t xml:space="preserve"> A</w:t>
      </w:r>
      <w:r w:rsidRPr="00844502">
        <w:rPr>
          <w:szCs w:val="24"/>
        </w:rPr>
        <w:t xml:space="preserve"> Covered Project shall have an </w:t>
      </w:r>
      <w:r>
        <w:rPr>
          <w:szCs w:val="24"/>
        </w:rPr>
        <w:t xml:space="preserve">Elderly Housing </w:t>
      </w:r>
      <w:r w:rsidRPr="00844502">
        <w:rPr>
          <w:szCs w:val="24"/>
        </w:rPr>
        <w:t xml:space="preserve">Use </w:t>
      </w:r>
      <w:r w:rsidR="00CE6C15">
        <w:rPr>
          <w:szCs w:val="24"/>
        </w:rPr>
        <w:t>Agreement</w:t>
      </w:r>
      <w:r w:rsidR="00011A99">
        <w:rPr>
          <w:szCs w:val="24"/>
        </w:rPr>
        <w:t>.</w:t>
      </w:r>
      <w:r w:rsidRPr="000B5750">
        <w:rPr>
          <w:szCs w:val="24"/>
        </w:rPr>
        <w:t xml:space="preserve"> </w:t>
      </w:r>
      <w:r w:rsidR="000B5750" w:rsidRPr="000B5750">
        <w:rPr>
          <w:szCs w:val="24"/>
        </w:rPr>
        <w:t xml:space="preserve">The </w:t>
      </w:r>
      <w:r w:rsidR="00526C7C">
        <w:rPr>
          <w:szCs w:val="24"/>
        </w:rPr>
        <w:t xml:space="preserve">Elderly Housing </w:t>
      </w:r>
      <w:r w:rsidR="000B5750" w:rsidRPr="000B5750">
        <w:rPr>
          <w:szCs w:val="24"/>
        </w:rPr>
        <w:t>Use Agreement will</w:t>
      </w:r>
      <w:r w:rsidR="000B5750">
        <w:rPr>
          <w:szCs w:val="24"/>
        </w:rPr>
        <w:t>:</w:t>
      </w:r>
    </w:p>
    <w:p w14:paraId="4C3C5953" w14:textId="34C0E7AC" w:rsidR="008F0B95" w:rsidRPr="008F0B95" w:rsidRDefault="008F0B95" w:rsidP="00794828">
      <w:pPr>
        <w:pStyle w:val="ListParagraph"/>
        <w:numPr>
          <w:ilvl w:val="1"/>
          <w:numId w:val="17"/>
        </w:numPr>
        <w:spacing w:after="12"/>
        <w:rPr>
          <w:sz w:val="24"/>
          <w:szCs w:val="24"/>
        </w:rPr>
      </w:pPr>
      <w:r w:rsidRPr="008F0B95">
        <w:rPr>
          <w:sz w:val="24"/>
          <w:szCs w:val="24"/>
        </w:rPr>
        <w:t xml:space="preserve">Be recorded in a superior position to all other liens on the property. The </w:t>
      </w:r>
      <w:r w:rsidR="00526C7C">
        <w:rPr>
          <w:sz w:val="24"/>
          <w:szCs w:val="24"/>
        </w:rPr>
        <w:t xml:space="preserve">Elderly Housing </w:t>
      </w:r>
      <w:r w:rsidRPr="008F0B95">
        <w:rPr>
          <w:sz w:val="24"/>
          <w:szCs w:val="24"/>
        </w:rPr>
        <w:t>Use Agreement shall be recorded prior to any mortgage or security instrument</w:t>
      </w:r>
      <w:r w:rsidR="003F40A5">
        <w:rPr>
          <w:sz w:val="24"/>
          <w:szCs w:val="24"/>
        </w:rPr>
        <w:t>,</w:t>
      </w:r>
      <w:r w:rsidR="00F7524A">
        <w:rPr>
          <w:sz w:val="24"/>
          <w:szCs w:val="24"/>
        </w:rPr>
        <w:t xml:space="preserve"> including an FHA-insured loan or a Risk-Share loan</w:t>
      </w:r>
      <w:r w:rsidRPr="008F0B95">
        <w:rPr>
          <w:sz w:val="24"/>
          <w:szCs w:val="24"/>
        </w:rPr>
        <w:t>;</w:t>
      </w:r>
    </w:p>
    <w:p w14:paraId="1C78A48C" w14:textId="77777777" w:rsidR="008F0B95" w:rsidRDefault="000B5750" w:rsidP="00794828">
      <w:pPr>
        <w:pStyle w:val="ListParagraph"/>
        <w:numPr>
          <w:ilvl w:val="1"/>
          <w:numId w:val="17"/>
        </w:numPr>
        <w:spacing w:after="12"/>
        <w:rPr>
          <w:sz w:val="24"/>
          <w:szCs w:val="24"/>
        </w:rPr>
      </w:pPr>
      <w:r w:rsidRPr="008F0B95">
        <w:rPr>
          <w:sz w:val="24"/>
          <w:szCs w:val="24"/>
        </w:rPr>
        <w:t>Have a term equal to the remaining term of the Capital Advance Use Agreement plus 20 years;</w:t>
      </w:r>
      <w:r w:rsidR="008F0B95" w:rsidRPr="008F0B95">
        <w:rPr>
          <w:sz w:val="24"/>
          <w:szCs w:val="24"/>
        </w:rPr>
        <w:t xml:space="preserve"> </w:t>
      </w:r>
    </w:p>
    <w:p w14:paraId="345896C7" w14:textId="1F07EC6C" w:rsidR="008F0B95" w:rsidRPr="008F0B95" w:rsidRDefault="008F0B95" w:rsidP="00794828">
      <w:pPr>
        <w:pStyle w:val="ListParagraph"/>
        <w:numPr>
          <w:ilvl w:val="1"/>
          <w:numId w:val="17"/>
        </w:numPr>
        <w:spacing w:after="12"/>
        <w:rPr>
          <w:sz w:val="24"/>
          <w:szCs w:val="24"/>
        </w:rPr>
      </w:pPr>
      <w:r>
        <w:rPr>
          <w:sz w:val="24"/>
          <w:szCs w:val="24"/>
        </w:rPr>
        <w:t>R</w:t>
      </w:r>
      <w:r w:rsidRPr="00BA685D">
        <w:rPr>
          <w:sz w:val="24"/>
          <w:szCs w:val="24"/>
        </w:rPr>
        <w:t xml:space="preserve">emain in effect even in the case of abatement or termination of the </w:t>
      </w:r>
      <w:r>
        <w:rPr>
          <w:sz w:val="24"/>
          <w:szCs w:val="24"/>
        </w:rPr>
        <w:t>HAP Contract</w:t>
      </w:r>
      <w:r w:rsidRPr="00BA685D">
        <w:rPr>
          <w:sz w:val="24"/>
          <w:szCs w:val="24"/>
        </w:rPr>
        <w:t xml:space="preserve">, unless the Secretary approves termination of the </w:t>
      </w:r>
      <w:r w:rsidR="00164A49">
        <w:rPr>
          <w:sz w:val="24"/>
          <w:szCs w:val="24"/>
        </w:rPr>
        <w:t>Elderly Housing U</w:t>
      </w:r>
      <w:r w:rsidRPr="00BA685D">
        <w:rPr>
          <w:sz w:val="24"/>
          <w:szCs w:val="24"/>
        </w:rPr>
        <w:t xml:space="preserve">se </w:t>
      </w:r>
      <w:r w:rsidRPr="008F0B95">
        <w:rPr>
          <w:sz w:val="24"/>
          <w:szCs w:val="24"/>
        </w:rPr>
        <w:t>Agreement in the case of a transfer of assistance;</w:t>
      </w:r>
    </w:p>
    <w:p w14:paraId="440EA96B" w14:textId="5E22228E" w:rsidR="005E427C" w:rsidRPr="005E427C" w:rsidRDefault="008F0B95" w:rsidP="00794828">
      <w:pPr>
        <w:pStyle w:val="ListParagraph"/>
        <w:numPr>
          <w:ilvl w:val="1"/>
          <w:numId w:val="17"/>
        </w:numPr>
        <w:spacing w:after="12"/>
        <w:rPr>
          <w:sz w:val="24"/>
          <w:szCs w:val="24"/>
        </w:rPr>
      </w:pPr>
      <w:r w:rsidRPr="008F0B95">
        <w:rPr>
          <w:sz w:val="24"/>
          <w:szCs w:val="24"/>
        </w:rPr>
        <w:t>Provide that</w:t>
      </w:r>
      <w:r w:rsidR="006357BB">
        <w:rPr>
          <w:sz w:val="24"/>
          <w:szCs w:val="24"/>
        </w:rPr>
        <w:t>,</w:t>
      </w:r>
      <w:r w:rsidRPr="008F0B95">
        <w:rPr>
          <w:sz w:val="24"/>
          <w:szCs w:val="24"/>
        </w:rPr>
        <w:t xml:space="preserve"> </w:t>
      </w:r>
      <w:r w:rsidR="006357BB">
        <w:rPr>
          <w:sz w:val="24"/>
          <w:szCs w:val="24"/>
        </w:rPr>
        <w:t>if</w:t>
      </w:r>
      <w:r w:rsidRPr="008F0B95">
        <w:rPr>
          <w:sz w:val="24"/>
          <w:szCs w:val="24"/>
        </w:rPr>
        <w:t xml:space="preserve"> the HAP Contract is </w:t>
      </w:r>
      <w:r w:rsidR="006357BB">
        <w:rPr>
          <w:sz w:val="24"/>
          <w:szCs w:val="24"/>
        </w:rPr>
        <w:t>terminated</w:t>
      </w:r>
      <w:r w:rsidRPr="008F0B95">
        <w:rPr>
          <w:sz w:val="24"/>
          <w:szCs w:val="24"/>
        </w:rPr>
        <w:t xml:space="preserve"> due to breach, non-compliance or insufficiency of </w:t>
      </w:r>
      <w:r w:rsidR="005E427C" w:rsidRPr="005E427C">
        <w:rPr>
          <w:sz w:val="24"/>
          <w:szCs w:val="24"/>
        </w:rPr>
        <w:t>Federal appropriations, for all units previously covered under the HAP Contract</w:t>
      </w:r>
      <w:r w:rsidR="00CC6247">
        <w:rPr>
          <w:sz w:val="24"/>
          <w:szCs w:val="24"/>
        </w:rPr>
        <w:t>,</w:t>
      </w:r>
      <w:r w:rsidR="005E427C" w:rsidRPr="005E427C">
        <w:rPr>
          <w:sz w:val="24"/>
          <w:szCs w:val="24"/>
        </w:rPr>
        <w:t xml:space="preserve"> new tenants must be elderly and</w:t>
      </w:r>
    </w:p>
    <w:p w14:paraId="13E69459" w14:textId="51E75F77" w:rsidR="005E427C" w:rsidRPr="005E427C" w:rsidRDefault="005E427C" w:rsidP="00794828">
      <w:pPr>
        <w:pStyle w:val="ListParagraph"/>
        <w:numPr>
          <w:ilvl w:val="3"/>
          <w:numId w:val="17"/>
        </w:numPr>
        <w:spacing w:after="12"/>
        <w:ind w:left="2160"/>
        <w:rPr>
          <w:sz w:val="24"/>
          <w:szCs w:val="24"/>
        </w:rPr>
      </w:pPr>
      <w:r w:rsidRPr="005E427C">
        <w:rPr>
          <w:sz w:val="24"/>
          <w:szCs w:val="24"/>
        </w:rPr>
        <w:t xml:space="preserve">Through the period equal to the remaining term of the Capital Advance Use Agreement, must have incomes at or below fifty percent (50%) of the area median income (AMI) at the time of admission and rents may not exceed thirty percent (30%) of fifty percent (50%) of AMI for an appropriate-size unit for the remainder of the term of the Elderly Housing Use Agreement; and </w:t>
      </w:r>
    </w:p>
    <w:p w14:paraId="4D54C34B" w14:textId="3C4DE8BE" w:rsidR="003F40A5" w:rsidRPr="005E427C" w:rsidRDefault="005E427C" w:rsidP="00794828">
      <w:pPr>
        <w:pStyle w:val="ListParagraph"/>
        <w:numPr>
          <w:ilvl w:val="3"/>
          <w:numId w:val="17"/>
        </w:numPr>
        <w:spacing w:after="12"/>
        <w:ind w:left="2160"/>
        <w:rPr>
          <w:sz w:val="24"/>
          <w:szCs w:val="24"/>
        </w:rPr>
      </w:pPr>
      <w:r w:rsidRPr="005E427C">
        <w:rPr>
          <w:sz w:val="24"/>
          <w:szCs w:val="24"/>
        </w:rPr>
        <w:t xml:space="preserve">Thereafter and through the remainder of the Elderly Housing Use Agreement, </w:t>
      </w:r>
      <w:r w:rsidR="003F40A5" w:rsidRPr="005E427C">
        <w:rPr>
          <w:sz w:val="24"/>
          <w:szCs w:val="24"/>
        </w:rPr>
        <w:t>must have incomes at or below eighty percent (80%) of the area median income (AMI) at the time of admission and rents may not exceed thirty percent (30%) of eighty percent (80%) of AMI for an appropriate-size unit for the remainder of the term of the Elderly Housing Use Agreement;</w:t>
      </w:r>
    </w:p>
    <w:p w14:paraId="59AEF87E" w14:textId="77777777" w:rsidR="00410582" w:rsidRDefault="00410582" w:rsidP="00794828">
      <w:pPr>
        <w:pStyle w:val="ListParagraph"/>
        <w:numPr>
          <w:ilvl w:val="1"/>
          <w:numId w:val="17"/>
        </w:numPr>
        <w:spacing w:after="12"/>
        <w:rPr>
          <w:sz w:val="24"/>
          <w:szCs w:val="24"/>
        </w:rPr>
      </w:pPr>
      <w:r w:rsidRPr="000B3A06">
        <w:rPr>
          <w:sz w:val="24"/>
          <w:szCs w:val="24"/>
        </w:rPr>
        <w:t>Require compliance with all applicable fair housing and civil rights requirements, including the obligation to affirmatively further fair housing</w:t>
      </w:r>
      <w:r>
        <w:rPr>
          <w:sz w:val="24"/>
          <w:szCs w:val="24"/>
        </w:rPr>
        <w:t>; and</w:t>
      </w:r>
    </w:p>
    <w:p w14:paraId="12CD37EB" w14:textId="75ED33E3" w:rsidR="008F0B95" w:rsidRPr="00410582" w:rsidRDefault="000B5750" w:rsidP="00794828">
      <w:pPr>
        <w:pStyle w:val="ListParagraph"/>
        <w:numPr>
          <w:ilvl w:val="1"/>
          <w:numId w:val="17"/>
        </w:numPr>
        <w:spacing w:after="12"/>
        <w:rPr>
          <w:sz w:val="24"/>
          <w:szCs w:val="24"/>
        </w:rPr>
      </w:pPr>
      <w:r w:rsidRPr="000B3A06">
        <w:rPr>
          <w:sz w:val="24"/>
          <w:szCs w:val="24"/>
        </w:rPr>
        <w:t>Prescribe p</w:t>
      </w:r>
      <w:r w:rsidR="00B34A71" w:rsidRPr="000B3A06">
        <w:rPr>
          <w:sz w:val="24"/>
          <w:szCs w:val="24"/>
        </w:rPr>
        <w:t>otential</w:t>
      </w:r>
      <w:r w:rsidRPr="000B3A06">
        <w:rPr>
          <w:sz w:val="24"/>
          <w:szCs w:val="24"/>
        </w:rPr>
        <w:t xml:space="preserve"> remedies</w:t>
      </w:r>
      <w:r w:rsidR="0050130D" w:rsidRPr="000B3A06">
        <w:rPr>
          <w:sz w:val="24"/>
          <w:szCs w:val="24"/>
        </w:rPr>
        <w:t xml:space="preserve"> in the event</w:t>
      </w:r>
      <w:r w:rsidRPr="000B3A06">
        <w:rPr>
          <w:sz w:val="24"/>
          <w:szCs w:val="24"/>
        </w:rPr>
        <w:t xml:space="preserve"> of default</w:t>
      </w:r>
      <w:r w:rsidR="00410582">
        <w:rPr>
          <w:sz w:val="24"/>
          <w:szCs w:val="24"/>
        </w:rPr>
        <w:t>, which remedies may include, without limitation, civil money penalties, injunctive relief, specific performance, the right to take possession</w:t>
      </w:r>
      <w:r w:rsidR="00C13D75">
        <w:rPr>
          <w:sz w:val="24"/>
          <w:szCs w:val="24"/>
        </w:rPr>
        <w:t xml:space="preserve"> subject to non-disturbance of subordinate lienholders</w:t>
      </w:r>
      <w:r w:rsidR="00410582">
        <w:rPr>
          <w:sz w:val="24"/>
          <w:szCs w:val="24"/>
        </w:rPr>
        <w:t>, the right to appointment of a receiver, the right to require a transfer of the Covered Project</w:t>
      </w:r>
      <w:r w:rsidR="00410582" w:rsidRPr="00410582">
        <w:rPr>
          <w:sz w:val="24"/>
          <w:szCs w:val="24"/>
        </w:rPr>
        <w:t xml:space="preserve"> </w:t>
      </w:r>
      <w:r w:rsidR="00410582">
        <w:rPr>
          <w:sz w:val="24"/>
          <w:szCs w:val="24"/>
        </w:rPr>
        <w:t>with consent of mortgage lienholders</w:t>
      </w:r>
      <w:r w:rsidR="00410582" w:rsidRPr="00410582">
        <w:rPr>
          <w:sz w:val="24"/>
          <w:szCs w:val="24"/>
        </w:rPr>
        <w:t>, the right to</w:t>
      </w:r>
      <w:r w:rsidR="00410582">
        <w:rPr>
          <w:sz w:val="24"/>
          <w:szCs w:val="24"/>
        </w:rPr>
        <w:t xml:space="preserve"> transfer the HAP Contract, and any other remedy available at law or in equity.</w:t>
      </w:r>
      <w:r w:rsidR="00410582" w:rsidRPr="00410582">
        <w:rPr>
          <w:sz w:val="24"/>
          <w:szCs w:val="24"/>
        </w:rPr>
        <w:t xml:space="preserve"> </w:t>
      </w:r>
    </w:p>
    <w:p w14:paraId="14FCD1AF" w14:textId="77777777" w:rsidR="000B3A06" w:rsidRPr="000B3A06" w:rsidRDefault="000B3A06" w:rsidP="000B3A06">
      <w:pPr>
        <w:pStyle w:val="ListParagraph"/>
        <w:spacing w:after="12"/>
        <w:ind w:left="1440"/>
        <w:rPr>
          <w:szCs w:val="24"/>
        </w:rPr>
      </w:pPr>
    </w:p>
    <w:p w14:paraId="0C918448" w14:textId="28CECA2E" w:rsidR="008812FA" w:rsidRPr="0043258D" w:rsidRDefault="008812FA" w:rsidP="00794828">
      <w:pPr>
        <w:pStyle w:val="ListParagraph"/>
        <w:numPr>
          <w:ilvl w:val="0"/>
          <w:numId w:val="17"/>
        </w:numPr>
        <w:spacing w:after="12"/>
        <w:ind w:left="360"/>
        <w:rPr>
          <w:sz w:val="24"/>
          <w:szCs w:val="24"/>
        </w:rPr>
      </w:pPr>
      <w:r w:rsidRPr="0043258D">
        <w:rPr>
          <w:b/>
          <w:sz w:val="24"/>
          <w:szCs w:val="24"/>
        </w:rPr>
        <w:t xml:space="preserve">Restriction on Proceeds from </w:t>
      </w:r>
      <w:r w:rsidR="00906DD4" w:rsidRPr="0043258D">
        <w:rPr>
          <w:b/>
          <w:sz w:val="24"/>
          <w:szCs w:val="24"/>
        </w:rPr>
        <w:t xml:space="preserve">Sale or </w:t>
      </w:r>
      <w:r w:rsidRPr="0043258D">
        <w:rPr>
          <w:b/>
          <w:sz w:val="24"/>
          <w:szCs w:val="24"/>
        </w:rPr>
        <w:t>Refinance</w:t>
      </w:r>
      <w:r w:rsidR="0043258D">
        <w:rPr>
          <w:b/>
          <w:sz w:val="24"/>
          <w:szCs w:val="24"/>
        </w:rPr>
        <w:t xml:space="preserve">. </w:t>
      </w:r>
      <w:r w:rsidRPr="0043258D">
        <w:rPr>
          <w:sz w:val="24"/>
          <w:szCs w:val="24"/>
        </w:rPr>
        <w:t xml:space="preserve">The proceeds from any </w:t>
      </w:r>
      <w:r w:rsidR="00D1058F" w:rsidRPr="0043258D">
        <w:rPr>
          <w:sz w:val="24"/>
          <w:szCs w:val="24"/>
        </w:rPr>
        <w:t xml:space="preserve">sale or </w:t>
      </w:r>
      <w:r w:rsidRPr="0043258D">
        <w:rPr>
          <w:sz w:val="24"/>
          <w:szCs w:val="24"/>
        </w:rPr>
        <w:t xml:space="preserve">refinance </w:t>
      </w:r>
      <w:r w:rsidR="00D1058F" w:rsidRPr="0043258D">
        <w:rPr>
          <w:sz w:val="24"/>
          <w:szCs w:val="24"/>
        </w:rPr>
        <w:t xml:space="preserve">of the Covered Project </w:t>
      </w:r>
      <w:r w:rsidRPr="0043258D">
        <w:rPr>
          <w:sz w:val="24"/>
          <w:szCs w:val="24"/>
        </w:rPr>
        <w:t xml:space="preserve">that occurs during the </w:t>
      </w:r>
      <w:r w:rsidR="00D1058F" w:rsidRPr="0043258D">
        <w:rPr>
          <w:sz w:val="24"/>
          <w:szCs w:val="24"/>
        </w:rPr>
        <w:t xml:space="preserve">period equal </w:t>
      </w:r>
      <w:r w:rsidR="00972955" w:rsidRPr="0043258D">
        <w:rPr>
          <w:sz w:val="24"/>
          <w:szCs w:val="24"/>
        </w:rPr>
        <w:t xml:space="preserve">to the remaining term </w:t>
      </w:r>
      <w:r w:rsidRPr="0043258D">
        <w:rPr>
          <w:sz w:val="24"/>
          <w:szCs w:val="24"/>
        </w:rPr>
        <w:t>of the original Capital Advance</w:t>
      </w:r>
      <w:r w:rsidR="00D1058F" w:rsidRPr="0043258D">
        <w:rPr>
          <w:sz w:val="24"/>
          <w:szCs w:val="24"/>
        </w:rPr>
        <w:t xml:space="preserve"> Use Agreement</w:t>
      </w:r>
      <w:r w:rsidRPr="0043258D">
        <w:rPr>
          <w:sz w:val="24"/>
          <w:szCs w:val="24"/>
        </w:rPr>
        <w:t xml:space="preserve"> will be restricted to </w:t>
      </w:r>
      <w:r w:rsidR="00972955" w:rsidRPr="0043258D">
        <w:rPr>
          <w:sz w:val="24"/>
          <w:szCs w:val="24"/>
        </w:rPr>
        <w:t>benefit the property or residents of the property</w:t>
      </w:r>
      <w:r w:rsidR="00CC6247">
        <w:rPr>
          <w:sz w:val="24"/>
          <w:szCs w:val="24"/>
        </w:rPr>
        <w:t xml:space="preserve"> (such as capital improvements or service delivery)</w:t>
      </w:r>
      <w:r w:rsidR="00972955" w:rsidRPr="0043258D">
        <w:rPr>
          <w:sz w:val="24"/>
          <w:szCs w:val="24"/>
        </w:rPr>
        <w:t xml:space="preserve">, or to </w:t>
      </w:r>
      <w:r w:rsidR="004F350E" w:rsidRPr="0043258D">
        <w:rPr>
          <w:sz w:val="24"/>
          <w:szCs w:val="24"/>
        </w:rPr>
        <w:t xml:space="preserve">other </w:t>
      </w:r>
      <w:r w:rsidR="00972955" w:rsidRPr="0043258D">
        <w:rPr>
          <w:sz w:val="24"/>
          <w:szCs w:val="24"/>
        </w:rPr>
        <w:t>Affordable Housing Purposes</w:t>
      </w:r>
      <w:r w:rsidR="0043258D">
        <w:rPr>
          <w:sz w:val="24"/>
          <w:szCs w:val="24"/>
        </w:rPr>
        <w:t xml:space="preserve">. </w:t>
      </w:r>
      <w:r w:rsidR="00D1058F" w:rsidRPr="0043258D">
        <w:rPr>
          <w:sz w:val="24"/>
          <w:szCs w:val="24"/>
        </w:rPr>
        <w:t>For purposes of this paragraph, proceeds of a sale include all cash or other consideration paid to or on behalf of the seller of a Covered Project</w:t>
      </w:r>
      <w:r w:rsidR="0043258D">
        <w:rPr>
          <w:sz w:val="24"/>
          <w:szCs w:val="24"/>
        </w:rPr>
        <w:t xml:space="preserve">. </w:t>
      </w:r>
      <w:r w:rsidR="00D1058F" w:rsidRPr="0043258D">
        <w:rPr>
          <w:sz w:val="24"/>
          <w:szCs w:val="24"/>
        </w:rPr>
        <w:t>Proceeds of a refinancing include all commercial or subsidized loan proceeds</w:t>
      </w:r>
      <w:r w:rsidR="005E745E" w:rsidRPr="0043258D">
        <w:rPr>
          <w:sz w:val="24"/>
          <w:szCs w:val="24"/>
        </w:rPr>
        <w:t xml:space="preserve">, </w:t>
      </w:r>
      <w:r w:rsidR="00D1058F" w:rsidRPr="0043258D">
        <w:rPr>
          <w:sz w:val="24"/>
          <w:szCs w:val="24"/>
        </w:rPr>
        <w:t>equity investments</w:t>
      </w:r>
      <w:r w:rsidR="005E745E" w:rsidRPr="0043258D">
        <w:rPr>
          <w:sz w:val="24"/>
          <w:szCs w:val="24"/>
        </w:rPr>
        <w:t xml:space="preserve"> and grants received by or invested in the Project Owner</w:t>
      </w:r>
      <w:r w:rsidR="0043258D">
        <w:rPr>
          <w:sz w:val="24"/>
          <w:szCs w:val="24"/>
        </w:rPr>
        <w:t xml:space="preserve">. </w:t>
      </w:r>
      <w:r w:rsidR="00D1058F" w:rsidRPr="0043258D">
        <w:rPr>
          <w:sz w:val="24"/>
          <w:szCs w:val="24"/>
        </w:rPr>
        <w:t xml:space="preserve">Seller financing and all uses set forth in a HUD-approved sources and uses </w:t>
      </w:r>
      <w:r w:rsidR="006357BB">
        <w:rPr>
          <w:sz w:val="24"/>
          <w:szCs w:val="24"/>
        </w:rPr>
        <w:t xml:space="preserve">document </w:t>
      </w:r>
      <w:r w:rsidR="00D1058F" w:rsidRPr="0043258D">
        <w:rPr>
          <w:sz w:val="24"/>
          <w:szCs w:val="24"/>
        </w:rPr>
        <w:t>are Affordable Housing Purpose</w:t>
      </w:r>
      <w:r w:rsidR="005E745E" w:rsidRPr="0043258D">
        <w:rPr>
          <w:sz w:val="24"/>
          <w:szCs w:val="24"/>
        </w:rPr>
        <w:t>s</w:t>
      </w:r>
      <w:r w:rsidR="00D1058F" w:rsidRPr="0043258D">
        <w:rPr>
          <w:sz w:val="24"/>
          <w:szCs w:val="24"/>
        </w:rPr>
        <w:t xml:space="preserve"> and are for the benefit of the property and the residents</w:t>
      </w:r>
      <w:r w:rsidR="0043258D">
        <w:rPr>
          <w:sz w:val="24"/>
          <w:szCs w:val="24"/>
        </w:rPr>
        <w:t xml:space="preserve">. </w:t>
      </w:r>
      <w:r w:rsidR="005A057A" w:rsidRPr="0043258D">
        <w:rPr>
          <w:sz w:val="24"/>
          <w:szCs w:val="24"/>
        </w:rPr>
        <w:t xml:space="preserve">Paydown of any Identity of Interest (IOI) loans or advances will not be an approved use unless the Project Owner can demonstrate to HUD’s satisfaction that the reasonably anticipated needs of the Covered Project, including capital, service delivery and reserve needs, will be adequately funded notwithstanding such paydown. </w:t>
      </w:r>
    </w:p>
    <w:p w14:paraId="3DE6EFD2" w14:textId="77777777" w:rsidR="008812FA" w:rsidRDefault="008812FA" w:rsidP="008812FA">
      <w:pPr>
        <w:pStyle w:val="ListParagraph"/>
        <w:spacing w:after="12"/>
        <w:ind w:left="360"/>
        <w:rPr>
          <w:szCs w:val="24"/>
        </w:rPr>
      </w:pPr>
    </w:p>
    <w:p w14:paraId="7F57C4BD" w14:textId="25A38136" w:rsidR="00A14DCD" w:rsidRDefault="00A14DCD" w:rsidP="00794828">
      <w:pPr>
        <w:numPr>
          <w:ilvl w:val="0"/>
          <w:numId w:val="17"/>
        </w:numPr>
        <w:spacing w:after="12"/>
        <w:ind w:left="360"/>
        <w:rPr>
          <w:szCs w:val="24"/>
        </w:rPr>
      </w:pPr>
      <w:r w:rsidRPr="00077064">
        <w:rPr>
          <w:b/>
          <w:szCs w:val="24"/>
        </w:rPr>
        <w:t>Environmental Reviews.</w:t>
      </w:r>
      <w:r w:rsidRPr="00077064">
        <w:rPr>
          <w:szCs w:val="24"/>
        </w:rPr>
        <w:t xml:space="preserve"> Under Federal environmental review requirements, proposed RAD </w:t>
      </w:r>
      <w:r w:rsidR="005B7BE7">
        <w:rPr>
          <w:szCs w:val="24"/>
        </w:rPr>
        <w:t>P</w:t>
      </w:r>
      <w:r w:rsidRPr="00077064">
        <w:rPr>
          <w:szCs w:val="24"/>
        </w:rPr>
        <w:t xml:space="preserve">rojects are subject to environmental review. Environmental documents are required to be submitted as part of the applicant’s overall </w:t>
      </w:r>
      <w:r w:rsidR="00452A24">
        <w:rPr>
          <w:szCs w:val="24"/>
        </w:rPr>
        <w:t>Conversion</w:t>
      </w:r>
      <w:r w:rsidRPr="00077064">
        <w:rPr>
          <w:szCs w:val="24"/>
        </w:rPr>
        <w:t xml:space="preserve"> Plan. A </w:t>
      </w:r>
      <w:r w:rsidR="00452A24">
        <w:rPr>
          <w:szCs w:val="24"/>
        </w:rPr>
        <w:t>Conversion</w:t>
      </w:r>
      <w:r w:rsidRPr="00077064">
        <w:rPr>
          <w:szCs w:val="24"/>
        </w:rPr>
        <w:t xml:space="preserve"> Plan cannot be approved by HUD if the </w:t>
      </w:r>
      <w:r w:rsidR="005B7BE7">
        <w:rPr>
          <w:szCs w:val="24"/>
        </w:rPr>
        <w:t>P</w:t>
      </w:r>
      <w:r w:rsidRPr="00077064">
        <w:rPr>
          <w:szCs w:val="24"/>
        </w:rPr>
        <w:t xml:space="preserve">roject plan does not meet environmental review requirements. </w:t>
      </w:r>
      <w:r w:rsidRPr="00452A24">
        <w:rPr>
          <w:szCs w:val="24"/>
        </w:rPr>
        <w:t xml:space="preserve">Please see Attachment </w:t>
      </w:r>
      <w:r w:rsidR="00452A24" w:rsidRPr="00452A24">
        <w:rPr>
          <w:szCs w:val="24"/>
        </w:rPr>
        <w:t>4</w:t>
      </w:r>
      <w:r w:rsidRPr="00452A24">
        <w:rPr>
          <w:szCs w:val="24"/>
        </w:rPr>
        <w:t>A</w:t>
      </w:r>
      <w:r w:rsidRPr="00077064">
        <w:rPr>
          <w:szCs w:val="24"/>
        </w:rPr>
        <w:t xml:space="preserve"> for a discussion of the environmental review requirements applicable to </w:t>
      </w:r>
      <w:r w:rsidR="00D416D3">
        <w:rPr>
          <w:szCs w:val="24"/>
        </w:rPr>
        <w:t>PRAC conversions</w:t>
      </w:r>
      <w:r>
        <w:rPr>
          <w:szCs w:val="24"/>
        </w:rPr>
        <w:t xml:space="preserve">, including </w:t>
      </w:r>
      <w:r w:rsidR="00D416D3">
        <w:rPr>
          <w:szCs w:val="24"/>
        </w:rPr>
        <w:t xml:space="preserve">conversion transactions </w:t>
      </w:r>
      <w:r>
        <w:rPr>
          <w:szCs w:val="24"/>
        </w:rPr>
        <w:t xml:space="preserve">that will not result in the alteration of the physical condition of the </w:t>
      </w:r>
      <w:r w:rsidR="005B7BE7">
        <w:rPr>
          <w:szCs w:val="24"/>
        </w:rPr>
        <w:t>P</w:t>
      </w:r>
      <w:r>
        <w:rPr>
          <w:szCs w:val="24"/>
        </w:rPr>
        <w:t>ro</w:t>
      </w:r>
      <w:r w:rsidR="00854092">
        <w:rPr>
          <w:szCs w:val="24"/>
        </w:rPr>
        <w:t>ject</w:t>
      </w:r>
      <w:r w:rsidR="00184708">
        <w:rPr>
          <w:szCs w:val="24"/>
        </w:rPr>
        <w:t>.</w:t>
      </w:r>
    </w:p>
    <w:p w14:paraId="7F57C4BE" w14:textId="7BA2DBA7" w:rsidR="00A14DCD" w:rsidRPr="00077064" w:rsidRDefault="00A14DCD" w:rsidP="00A14DCD">
      <w:pPr>
        <w:spacing w:after="12"/>
        <w:ind w:left="360"/>
        <w:rPr>
          <w:szCs w:val="24"/>
        </w:rPr>
      </w:pPr>
    </w:p>
    <w:p w14:paraId="7F57C4BF" w14:textId="641BA583" w:rsidR="00A14DCD" w:rsidRPr="003D04C3" w:rsidRDefault="00A14DCD" w:rsidP="00794828">
      <w:pPr>
        <w:numPr>
          <w:ilvl w:val="0"/>
          <w:numId w:val="17"/>
        </w:numPr>
        <w:spacing w:after="12"/>
        <w:ind w:left="360"/>
      </w:pPr>
      <w:r w:rsidRPr="00077064">
        <w:rPr>
          <w:b/>
          <w:szCs w:val="24"/>
        </w:rPr>
        <w:t>Relocation and Right to Return.</w:t>
      </w:r>
      <w:r w:rsidRPr="00077064">
        <w:rPr>
          <w:szCs w:val="24"/>
        </w:rPr>
        <w:t xml:space="preserve"> </w:t>
      </w:r>
      <w:r w:rsidR="00483E51">
        <w:rPr>
          <w:szCs w:val="24"/>
        </w:rPr>
        <w:t>A</w:t>
      </w:r>
      <w:r w:rsidR="00483E51" w:rsidRPr="00077064">
        <w:rPr>
          <w:szCs w:val="24"/>
        </w:rPr>
        <w:t xml:space="preserve">ny </w:t>
      </w:r>
      <w:r w:rsidR="005E745E">
        <w:rPr>
          <w:szCs w:val="24"/>
        </w:rPr>
        <w:t xml:space="preserve">person who is legally on the lease or otherwise in lawful occupancy at the Converting Project at or after the time of submission of the Conversion Plan </w:t>
      </w:r>
      <w:r w:rsidR="00483E51" w:rsidRPr="00077064">
        <w:rPr>
          <w:szCs w:val="24"/>
        </w:rPr>
        <w:t>has a right to remain in or</w:t>
      </w:r>
      <w:r w:rsidR="006357BB">
        <w:rPr>
          <w:szCs w:val="24"/>
        </w:rPr>
        <w:t>,</w:t>
      </w:r>
      <w:r w:rsidR="00483E51" w:rsidRPr="00077064">
        <w:rPr>
          <w:szCs w:val="24"/>
        </w:rPr>
        <w:t xml:space="preserve"> in the event that rehabilitation will result in the relocation of residents</w:t>
      </w:r>
      <w:r w:rsidR="00483E51">
        <w:rPr>
          <w:szCs w:val="24"/>
        </w:rPr>
        <w:t>,</w:t>
      </w:r>
      <w:r w:rsidR="00483E51" w:rsidRPr="00077064">
        <w:rPr>
          <w:szCs w:val="24"/>
        </w:rPr>
        <w:t xml:space="preserve"> </w:t>
      </w:r>
      <w:r w:rsidR="00483E51">
        <w:rPr>
          <w:szCs w:val="24"/>
        </w:rPr>
        <w:t xml:space="preserve">a right to </w:t>
      </w:r>
      <w:r w:rsidR="00483E51" w:rsidRPr="00077064">
        <w:rPr>
          <w:szCs w:val="24"/>
        </w:rPr>
        <w:t xml:space="preserve">return to an assisted unit at the Covered Project. </w:t>
      </w:r>
      <w:r w:rsidR="00CB2BE8" w:rsidRPr="009351F8">
        <w:rPr>
          <w:szCs w:val="24"/>
        </w:rPr>
        <w:t>Any relocation as a result of acquisition, demolition, or rehabilitation is subject to requirements of the Uniform Relocation Assistance and Real Property Acquisition Policies Act of 1970 (URA)</w:t>
      </w:r>
      <w:r w:rsidR="00CB2BE8">
        <w:rPr>
          <w:szCs w:val="24"/>
        </w:rPr>
        <w:t xml:space="preserve"> which are found at 49 CFR part 24</w:t>
      </w:r>
      <w:r w:rsidR="0043258D">
        <w:rPr>
          <w:szCs w:val="24"/>
        </w:rPr>
        <w:t xml:space="preserve">. </w:t>
      </w:r>
      <w:r w:rsidR="00A032D5">
        <w:rPr>
          <w:szCs w:val="24"/>
        </w:rPr>
        <w:t>P</w:t>
      </w:r>
      <w:r w:rsidR="00A032D5" w:rsidRPr="00A7368A">
        <w:rPr>
          <w:szCs w:val="24"/>
        </w:rPr>
        <w:t>roper notices including the General Information Notice (GIN),</w:t>
      </w:r>
      <w:r w:rsidR="00A032D5" w:rsidRPr="00BE3BF3">
        <w:rPr>
          <w:szCs w:val="24"/>
        </w:rPr>
        <w:t xml:space="preserve"> when applicable, should be sent at appropr</w:t>
      </w:r>
      <w:r w:rsidR="00A032D5" w:rsidRPr="00CB2BE8">
        <w:rPr>
          <w:szCs w:val="24"/>
        </w:rPr>
        <w:t xml:space="preserve">iate times in line with URA regulations and other guidance. </w:t>
      </w:r>
      <w:r w:rsidR="002F1074">
        <w:rPr>
          <w:szCs w:val="24"/>
        </w:rPr>
        <w:t>Additionally, relocation and one-for-one replacement requirements under section 104(d) of the Housing and Community Development Act of 1974 may apply when CDBG or HOME funds are used in connection with a RAD conversion</w:t>
      </w:r>
      <w:r w:rsidR="0043258D">
        <w:rPr>
          <w:szCs w:val="24"/>
        </w:rPr>
        <w:t xml:space="preserve">. </w:t>
      </w:r>
      <w:r w:rsidR="002F1074">
        <w:rPr>
          <w:szCs w:val="24"/>
        </w:rPr>
        <w:t>Section 104(d) requirements are found at 24 CFR part 42, subpart C</w:t>
      </w:r>
      <w:r w:rsidR="0043258D">
        <w:rPr>
          <w:szCs w:val="24"/>
        </w:rPr>
        <w:t xml:space="preserve">. </w:t>
      </w:r>
      <w:r w:rsidR="002F1074">
        <w:rPr>
          <w:szCs w:val="24"/>
        </w:rPr>
        <w:t xml:space="preserve">The applicability of URA or section 104(d) requirements to a RAD conversion is fact-specific and must be determined in accordance with the applicable URA and section 104(d) regulations. </w:t>
      </w:r>
      <w:r w:rsidRPr="00077064">
        <w:rPr>
          <w:szCs w:val="24"/>
        </w:rPr>
        <w:t xml:space="preserve">Permanent involuntary displacement of residents may not occur as a result of a </w:t>
      </w:r>
      <w:r w:rsidR="005B7BE7">
        <w:rPr>
          <w:szCs w:val="24"/>
        </w:rPr>
        <w:t>P</w:t>
      </w:r>
      <w:r w:rsidRPr="00077064">
        <w:rPr>
          <w:szCs w:val="24"/>
        </w:rPr>
        <w:t xml:space="preserve">roject’s conversion of assistance. If proposed plans for a </w:t>
      </w:r>
      <w:r w:rsidR="005B7BE7">
        <w:rPr>
          <w:szCs w:val="24"/>
        </w:rPr>
        <w:t>P</w:t>
      </w:r>
      <w:r w:rsidRPr="00077064">
        <w:rPr>
          <w:szCs w:val="24"/>
        </w:rPr>
        <w:t xml:space="preserve">roject would preclude a resident from returning to the Covered Project, the resident must be given an opportunity to comment and/or object to such plans. If the resident objects to such plans, the </w:t>
      </w:r>
      <w:r w:rsidR="000078CE">
        <w:rPr>
          <w:szCs w:val="24"/>
        </w:rPr>
        <w:t>Project Owner</w:t>
      </w:r>
      <w:r w:rsidRPr="00077064">
        <w:rPr>
          <w:szCs w:val="24"/>
        </w:rPr>
        <w:t xml:space="preserve"> must alter the </w:t>
      </w:r>
      <w:r w:rsidR="005B7BE7">
        <w:rPr>
          <w:szCs w:val="24"/>
        </w:rPr>
        <w:t>P</w:t>
      </w:r>
      <w:r w:rsidRPr="00077064">
        <w:rPr>
          <w:szCs w:val="24"/>
        </w:rPr>
        <w:t xml:space="preserve">roject plans </w:t>
      </w:r>
      <w:r w:rsidR="002F1074">
        <w:rPr>
          <w:szCs w:val="24"/>
        </w:rPr>
        <w:t>in order to house</w:t>
      </w:r>
      <w:r w:rsidRPr="00077064">
        <w:rPr>
          <w:szCs w:val="24"/>
        </w:rPr>
        <w:t xml:space="preserve"> the resident in the Covered Project. If a resident agrees to </w:t>
      </w:r>
      <w:r w:rsidR="002F1074">
        <w:rPr>
          <w:szCs w:val="24"/>
        </w:rPr>
        <w:t>the</w:t>
      </w:r>
      <w:r w:rsidRPr="00077064">
        <w:rPr>
          <w:szCs w:val="24"/>
        </w:rPr>
        <w:t xml:space="preserve"> plans</w:t>
      </w:r>
      <w:r w:rsidR="00D717C4">
        <w:rPr>
          <w:szCs w:val="24"/>
        </w:rPr>
        <w:t xml:space="preserve"> which would preclude the resident’s return</w:t>
      </w:r>
      <w:r w:rsidRPr="00077064">
        <w:rPr>
          <w:szCs w:val="24"/>
        </w:rPr>
        <w:t xml:space="preserve">, the </w:t>
      </w:r>
      <w:r w:rsidR="000078CE">
        <w:rPr>
          <w:szCs w:val="24"/>
        </w:rPr>
        <w:t>Project Owner</w:t>
      </w:r>
      <w:r w:rsidRPr="00077064">
        <w:rPr>
          <w:szCs w:val="24"/>
        </w:rPr>
        <w:t xml:space="preserve"> must </w:t>
      </w:r>
      <w:r>
        <w:rPr>
          <w:szCs w:val="24"/>
        </w:rPr>
        <w:t>ensure that the resident’s decision is fully informed, voluntary, and well documented</w:t>
      </w:r>
      <w:r w:rsidR="00AD131C">
        <w:rPr>
          <w:szCs w:val="24"/>
        </w:rPr>
        <w:t xml:space="preserve">. </w:t>
      </w:r>
      <w:r>
        <w:rPr>
          <w:szCs w:val="24"/>
        </w:rPr>
        <w:t xml:space="preserve">To be fully informed, at a minimum the resident must be notified in writing of </w:t>
      </w:r>
      <w:r w:rsidRPr="006C0A41">
        <w:t xml:space="preserve">a) his or her right to return; b) his or her right to object to plans which would preclude the resident from returning; c) </w:t>
      </w:r>
      <w:r>
        <w:t xml:space="preserve">the </w:t>
      </w:r>
      <w:r w:rsidR="000078CE">
        <w:t>Project Owner</w:t>
      </w:r>
      <w:r>
        <w:t>’s obligation to accommodate the resident’s right to return</w:t>
      </w:r>
      <w:r w:rsidRPr="006C0A41">
        <w:t xml:space="preserve">; and d) a description of </w:t>
      </w:r>
      <w:r>
        <w:t>the short and long-term implications of both the right to return arrangements (e.g., temporary relocation) and the resident’s options if the resident agrees to such plans</w:t>
      </w:r>
      <w:r w:rsidR="00AD131C">
        <w:t xml:space="preserve">. </w:t>
      </w:r>
      <w:r>
        <w:t>The resident must be provided counseling regarding the resident’s rights and options</w:t>
      </w:r>
      <w:r w:rsidR="00AD131C">
        <w:t xml:space="preserve">. </w:t>
      </w:r>
      <w:r>
        <w:rPr>
          <w:szCs w:val="24"/>
        </w:rPr>
        <w:t xml:space="preserve">To be voluntary, </w:t>
      </w:r>
      <w:r w:rsidR="00C75710">
        <w:rPr>
          <w:szCs w:val="24"/>
        </w:rPr>
        <w:t>a resident</w:t>
      </w:r>
      <w:r w:rsidR="0050130D">
        <w:rPr>
          <w:szCs w:val="24"/>
        </w:rPr>
        <w:t xml:space="preserve"> must </w:t>
      </w:r>
      <w:r w:rsidR="00B34A71">
        <w:rPr>
          <w:szCs w:val="24"/>
        </w:rPr>
        <w:t xml:space="preserve">be </w:t>
      </w:r>
      <w:r w:rsidRPr="00077064">
        <w:rPr>
          <w:szCs w:val="24"/>
        </w:rPr>
        <w:t>inform</w:t>
      </w:r>
      <w:r w:rsidR="00B34A71">
        <w:rPr>
          <w:szCs w:val="24"/>
        </w:rPr>
        <w:t xml:space="preserve">ed </w:t>
      </w:r>
      <w:r w:rsidR="0050130D">
        <w:rPr>
          <w:szCs w:val="24"/>
        </w:rPr>
        <w:t>of</w:t>
      </w:r>
      <w:r w:rsidR="00B34A71">
        <w:rPr>
          <w:szCs w:val="24"/>
        </w:rPr>
        <w:t xml:space="preserve"> their </w:t>
      </w:r>
      <w:r w:rsidRPr="00077064">
        <w:rPr>
          <w:szCs w:val="24"/>
        </w:rPr>
        <w:t xml:space="preserve">right to return, potential </w:t>
      </w:r>
      <w:r w:rsidR="002F1074">
        <w:rPr>
          <w:szCs w:val="24"/>
        </w:rPr>
        <w:t xml:space="preserve">for </w:t>
      </w:r>
      <w:r w:rsidRPr="00077064">
        <w:rPr>
          <w:szCs w:val="24"/>
        </w:rPr>
        <w:t xml:space="preserve">relocation, and temporary and permanent housing options </w:t>
      </w:r>
      <w:r w:rsidR="00D717C4">
        <w:rPr>
          <w:szCs w:val="24"/>
        </w:rPr>
        <w:t>3</w:t>
      </w:r>
      <w:r w:rsidR="00CB2BE8">
        <w:rPr>
          <w:szCs w:val="24"/>
        </w:rPr>
        <w:t>0</w:t>
      </w:r>
      <w:r w:rsidRPr="00077064">
        <w:rPr>
          <w:szCs w:val="24"/>
        </w:rPr>
        <w:t xml:space="preserve"> days before mak</w:t>
      </w:r>
      <w:r w:rsidR="0050130D">
        <w:rPr>
          <w:szCs w:val="24"/>
        </w:rPr>
        <w:t>ing</w:t>
      </w:r>
      <w:r w:rsidRPr="00077064">
        <w:rPr>
          <w:szCs w:val="24"/>
        </w:rPr>
        <w:t xml:space="preserve"> a decision</w:t>
      </w:r>
      <w:r w:rsidR="00D717C4">
        <w:rPr>
          <w:szCs w:val="24"/>
        </w:rPr>
        <w:t xml:space="preserve"> and must be provided notice of relocation 90 days before the relocation</w:t>
      </w:r>
      <w:r w:rsidRPr="00077064">
        <w:rPr>
          <w:szCs w:val="24"/>
        </w:rPr>
        <w:t xml:space="preserve">. The </w:t>
      </w:r>
      <w:r w:rsidR="000078CE">
        <w:rPr>
          <w:szCs w:val="24"/>
        </w:rPr>
        <w:t>Project Owner</w:t>
      </w:r>
      <w:r w:rsidRPr="00077064">
        <w:rPr>
          <w:szCs w:val="24"/>
        </w:rPr>
        <w:t xml:space="preserve"> cannot employ any tactics to pressure </w:t>
      </w:r>
      <w:r w:rsidR="002F1074">
        <w:rPr>
          <w:szCs w:val="24"/>
        </w:rPr>
        <w:t xml:space="preserve">the </w:t>
      </w:r>
      <w:r w:rsidRPr="00077064">
        <w:rPr>
          <w:szCs w:val="24"/>
        </w:rPr>
        <w:t xml:space="preserve">resident into relinquishing </w:t>
      </w:r>
      <w:r w:rsidR="00D717C4">
        <w:rPr>
          <w:szCs w:val="24"/>
        </w:rPr>
        <w:t xml:space="preserve">his or her </w:t>
      </w:r>
      <w:r w:rsidRPr="00077064">
        <w:rPr>
          <w:szCs w:val="24"/>
        </w:rPr>
        <w:t>right to return or accepting permanent relocation assistance and payments</w:t>
      </w:r>
      <w:r w:rsidR="00AD131C">
        <w:rPr>
          <w:szCs w:val="24"/>
        </w:rPr>
        <w:t xml:space="preserve">. </w:t>
      </w:r>
      <w:r>
        <w:rPr>
          <w:szCs w:val="24"/>
        </w:rPr>
        <w:t xml:space="preserve">To be </w:t>
      </w:r>
      <w:r w:rsidR="002F1074">
        <w:rPr>
          <w:szCs w:val="24"/>
        </w:rPr>
        <w:t>well</w:t>
      </w:r>
      <w:r>
        <w:rPr>
          <w:szCs w:val="24"/>
        </w:rPr>
        <w:t xml:space="preserve"> documented, </w:t>
      </w:r>
      <w:r w:rsidR="00C75710">
        <w:rPr>
          <w:szCs w:val="24"/>
        </w:rPr>
        <w:t xml:space="preserve">evidence of a resident’s decision must be retained by the </w:t>
      </w:r>
      <w:r w:rsidR="000078CE">
        <w:rPr>
          <w:szCs w:val="24"/>
        </w:rPr>
        <w:t>Project Owner</w:t>
      </w:r>
      <w:r w:rsidR="0043258D">
        <w:rPr>
          <w:szCs w:val="24"/>
        </w:rPr>
        <w:t xml:space="preserve">. </w:t>
      </w:r>
      <w:r w:rsidR="00D717C4">
        <w:rPr>
          <w:szCs w:val="24"/>
        </w:rPr>
        <w:t>A</w:t>
      </w:r>
      <w:r>
        <w:rPr>
          <w:szCs w:val="24"/>
        </w:rPr>
        <w:t xml:space="preserve">t a minimum </w:t>
      </w:r>
      <w:r w:rsidR="00C75710">
        <w:rPr>
          <w:szCs w:val="24"/>
        </w:rPr>
        <w:t>such evidence must include</w:t>
      </w:r>
      <w:r>
        <w:rPr>
          <w:szCs w:val="24"/>
        </w:rPr>
        <w:t xml:space="preserve"> copies of notices informing the resident of their options, records of any counseling or assistance provided, and the resident’s informed, written consent, including an</w:t>
      </w:r>
      <w:r w:rsidRPr="00741743">
        <w:rPr>
          <w:szCs w:val="24"/>
        </w:rPr>
        <w:t xml:space="preserve"> </w:t>
      </w:r>
      <w:r w:rsidRPr="00077064">
        <w:rPr>
          <w:szCs w:val="24"/>
        </w:rPr>
        <w:t>acknowledgement that acceptance of such assistance terminates the resident’s right to return to the Covered Project</w:t>
      </w:r>
      <w:r w:rsidR="00AD131C">
        <w:rPr>
          <w:szCs w:val="24"/>
        </w:rPr>
        <w:t xml:space="preserve">. </w:t>
      </w:r>
      <w:r>
        <w:rPr>
          <w:szCs w:val="24"/>
        </w:rPr>
        <w:t xml:space="preserve">If the resident agrees to the </w:t>
      </w:r>
      <w:r w:rsidR="000078CE">
        <w:rPr>
          <w:szCs w:val="24"/>
        </w:rPr>
        <w:t>Project Owner</w:t>
      </w:r>
      <w:r>
        <w:rPr>
          <w:szCs w:val="24"/>
        </w:rPr>
        <w:t>’s plans, the permanent relocation is considered voluntary, but must include</w:t>
      </w:r>
      <w:r>
        <w:t>, at a minimum, any</w:t>
      </w:r>
      <w:r w:rsidRPr="006C0A41">
        <w:t xml:space="preserve"> relocation assistance and payments required under the URA and Section 104(d), as applicable</w:t>
      </w:r>
      <w:r w:rsidR="00AD131C">
        <w:t xml:space="preserve">. </w:t>
      </w:r>
      <w:r>
        <w:t xml:space="preserve">The </w:t>
      </w:r>
      <w:r w:rsidR="000078CE">
        <w:t>Project Owner</w:t>
      </w:r>
      <w:r>
        <w:t xml:space="preserve"> </w:t>
      </w:r>
      <w:r w:rsidRPr="006C0A41">
        <w:t xml:space="preserve">may not propose or request that a displaced person waive rights or entitlements to relocation assistance under the URA or Section 104(d). </w:t>
      </w:r>
      <w:r w:rsidR="00CB2BE8">
        <w:t xml:space="preserve">If a tenant waives their URA rights the </w:t>
      </w:r>
      <w:r w:rsidR="000078CE">
        <w:t>Project Owner</w:t>
      </w:r>
      <w:r w:rsidR="00CB2BE8">
        <w:t xml:space="preserve"> must retain detailed documentation showing such.</w:t>
      </w:r>
    </w:p>
    <w:p w14:paraId="7F57C4C0" w14:textId="77777777" w:rsidR="00A14DCD" w:rsidRPr="00077064" w:rsidRDefault="00A14DCD" w:rsidP="00A14DCD">
      <w:pPr>
        <w:spacing w:after="12"/>
        <w:ind w:left="360"/>
        <w:rPr>
          <w:b/>
          <w:szCs w:val="24"/>
        </w:rPr>
      </w:pPr>
    </w:p>
    <w:p w14:paraId="7F57C4C1" w14:textId="2D71D0DB" w:rsidR="00A14DCD" w:rsidRPr="00077064" w:rsidRDefault="00A14DCD" w:rsidP="00794828">
      <w:pPr>
        <w:numPr>
          <w:ilvl w:val="0"/>
          <w:numId w:val="17"/>
        </w:numPr>
        <w:spacing w:after="12"/>
        <w:ind w:left="360"/>
        <w:rPr>
          <w:szCs w:val="24"/>
        </w:rPr>
      </w:pPr>
      <w:r w:rsidRPr="00077064">
        <w:rPr>
          <w:b/>
          <w:szCs w:val="24"/>
        </w:rPr>
        <w:t>Accessibility Requirements.</w:t>
      </w:r>
      <w:r w:rsidRPr="00077064">
        <w:rPr>
          <w:szCs w:val="24"/>
        </w:rPr>
        <w:t xml:space="preserve"> Federal accessibility requirements apply to all conversions. The laws that most typically apply to </w:t>
      </w:r>
      <w:r w:rsidR="00235F19">
        <w:rPr>
          <w:szCs w:val="24"/>
        </w:rPr>
        <w:t>HUD</w:t>
      </w:r>
      <w:r w:rsidR="00FC04D8">
        <w:rPr>
          <w:szCs w:val="24"/>
        </w:rPr>
        <w:t>-</w:t>
      </w:r>
      <w:r w:rsidR="00235F19">
        <w:rPr>
          <w:szCs w:val="24"/>
        </w:rPr>
        <w:t xml:space="preserve">assisted </w:t>
      </w:r>
      <w:r w:rsidR="004457AF">
        <w:rPr>
          <w:szCs w:val="24"/>
        </w:rPr>
        <w:t xml:space="preserve">housing undergoing </w:t>
      </w:r>
      <w:r w:rsidRPr="00077064">
        <w:rPr>
          <w:szCs w:val="24"/>
        </w:rPr>
        <w:t xml:space="preserve">rehabilitation include Section 504 of the Rehabilitation Act of 1973 (Section 504), </w:t>
      </w:r>
      <w:r w:rsidR="004457AF">
        <w:rPr>
          <w:szCs w:val="24"/>
        </w:rPr>
        <w:t xml:space="preserve">the Fair Housing Act, </w:t>
      </w:r>
      <w:r w:rsidRPr="00077064">
        <w:rPr>
          <w:szCs w:val="24"/>
        </w:rPr>
        <w:t>and</w:t>
      </w:r>
      <w:r w:rsidR="004457AF">
        <w:rPr>
          <w:szCs w:val="24"/>
        </w:rPr>
        <w:t>,</w:t>
      </w:r>
      <w:r w:rsidRPr="00077064">
        <w:rPr>
          <w:szCs w:val="24"/>
        </w:rPr>
        <w:t xml:space="preserve"> in some cases, the Americans with Disabilities Act (ADA). Although the requirements of each of these laws are somewhat different, </w:t>
      </w:r>
      <w:r w:rsidR="000078CE">
        <w:rPr>
          <w:szCs w:val="24"/>
        </w:rPr>
        <w:t>Project Owner</w:t>
      </w:r>
      <w:r w:rsidRPr="00077064">
        <w:rPr>
          <w:szCs w:val="24"/>
        </w:rPr>
        <w:t xml:space="preserve">s must comply with each law that applies. Section 504 and the ADA apply to </w:t>
      </w:r>
      <w:r w:rsidR="004457AF">
        <w:rPr>
          <w:szCs w:val="24"/>
        </w:rPr>
        <w:t xml:space="preserve">new construction and additions as defined in 24 CFR § 8.22, </w:t>
      </w:r>
      <w:r w:rsidRPr="00077064">
        <w:rPr>
          <w:szCs w:val="24"/>
        </w:rPr>
        <w:t>substantial alterations and other alterations as defined in 24 CFR § 8.23 and to existing, unaltered facilities (24 CFR § 8.24)</w:t>
      </w:r>
      <w:r w:rsidR="004457AF">
        <w:rPr>
          <w:szCs w:val="24"/>
        </w:rPr>
        <w:t>, as well as any combination thereof</w:t>
      </w:r>
      <w:r w:rsidRPr="00077064">
        <w:rPr>
          <w:szCs w:val="24"/>
        </w:rPr>
        <w:t>. See also 28 CFR § 35.151(b) and 28 CFR § 36.</w:t>
      </w:r>
      <w:r w:rsidR="004457AF">
        <w:rPr>
          <w:szCs w:val="24"/>
        </w:rPr>
        <w:t>402</w:t>
      </w:r>
      <w:r w:rsidR="0043258D">
        <w:rPr>
          <w:szCs w:val="24"/>
        </w:rPr>
        <w:t xml:space="preserve">. </w:t>
      </w:r>
      <w:r w:rsidR="004457AF" w:rsidRPr="00DF4933">
        <w:rPr>
          <w:szCs w:val="24"/>
        </w:rPr>
        <w:t>Section 504 and the ADA also require structural modifications as reasonable accommodations</w:t>
      </w:r>
      <w:r w:rsidR="0043258D">
        <w:rPr>
          <w:szCs w:val="24"/>
        </w:rPr>
        <w:t xml:space="preserve">. </w:t>
      </w:r>
      <w:r w:rsidR="004457AF" w:rsidRPr="00DF4933">
        <w:rPr>
          <w:szCs w:val="24"/>
        </w:rPr>
        <w:t>The Fair Housing Act applies to the design and construction of multifamily dwellings built for first occupancy after March 13, 1991</w:t>
      </w:r>
      <w:r w:rsidR="0043258D">
        <w:rPr>
          <w:szCs w:val="24"/>
        </w:rPr>
        <w:t xml:space="preserve">. </w:t>
      </w:r>
      <w:r w:rsidR="004457AF" w:rsidRPr="00DF4933">
        <w:rPr>
          <w:szCs w:val="24"/>
        </w:rPr>
        <w:t xml:space="preserve">It also requires that </w:t>
      </w:r>
      <w:r w:rsidR="000078CE">
        <w:rPr>
          <w:szCs w:val="24"/>
        </w:rPr>
        <w:t>Project Owner</w:t>
      </w:r>
      <w:r w:rsidR="004457AF" w:rsidRPr="00DF4933">
        <w:rPr>
          <w:szCs w:val="24"/>
        </w:rPr>
        <w:t xml:space="preserve">s allow for structural alterations in housing generally as reasonable modifications when necessary for an individual with a disability to use and enjoy a dwelling, and under these authorities, </w:t>
      </w:r>
      <w:r w:rsidR="000078CE">
        <w:rPr>
          <w:szCs w:val="24"/>
        </w:rPr>
        <w:t>Project Owner</w:t>
      </w:r>
      <w:r w:rsidR="004457AF" w:rsidRPr="00DF4933">
        <w:rPr>
          <w:szCs w:val="24"/>
        </w:rPr>
        <w:t>s must ensure that reasonable modifications follow the person post construction or alteration.</w:t>
      </w:r>
    </w:p>
    <w:p w14:paraId="7F57C4C2" w14:textId="77777777" w:rsidR="00A14DCD" w:rsidRPr="00077064" w:rsidRDefault="00A14DCD" w:rsidP="00A14DCD">
      <w:pPr>
        <w:spacing w:after="12"/>
        <w:ind w:left="360"/>
        <w:rPr>
          <w:szCs w:val="24"/>
        </w:rPr>
      </w:pPr>
    </w:p>
    <w:p w14:paraId="7F57C4C3" w14:textId="44B0832B" w:rsidR="00A14DCD" w:rsidRPr="00077064" w:rsidRDefault="00A14DCD" w:rsidP="00A14DCD">
      <w:pPr>
        <w:spacing w:after="12"/>
        <w:ind w:left="360"/>
        <w:rPr>
          <w:szCs w:val="24"/>
        </w:rPr>
      </w:pPr>
      <w:r w:rsidRPr="00077064">
        <w:rPr>
          <w:szCs w:val="24"/>
        </w:rPr>
        <w:t xml:space="preserve">When a </w:t>
      </w:r>
      <w:r w:rsidR="005B7BE7">
        <w:rPr>
          <w:szCs w:val="24"/>
        </w:rPr>
        <w:t>P</w:t>
      </w:r>
      <w:r w:rsidRPr="00077064">
        <w:rPr>
          <w:szCs w:val="24"/>
        </w:rPr>
        <w:t xml:space="preserve">roject’s rehabilitation meets the definition of a “substantial alteration” under 24 CFR § 8.23, the PHA or Project </w:t>
      </w:r>
      <w:r w:rsidR="00CA79EC">
        <w:rPr>
          <w:szCs w:val="24"/>
        </w:rPr>
        <w:t>Owner</w:t>
      </w:r>
      <w:r w:rsidRPr="00077064">
        <w:rPr>
          <w:szCs w:val="24"/>
        </w:rPr>
        <w:t xml:space="preserve">, as applicable, must comply with all applicable accessibility requirements </w:t>
      </w:r>
      <w:r w:rsidR="004457AF" w:rsidRPr="00A07910">
        <w:rPr>
          <w:szCs w:val="24"/>
        </w:rPr>
        <w:t>for new construction</w:t>
      </w:r>
      <w:r w:rsidR="004457AF">
        <w:rPr>
          <w:szCs w:val="24"/>
        </w:rPr>
        <w:t xml:space="preserve"> at 24 CFR § 8.22</w:t>
      </w:r>
      <w:r w:rsidR="004457AF" w:rsidRPr="00A07910">
        <w:rPr>
          <w:szCs w:val="24"/>
        </w:rPr>
        <w:t xml:space="preserve"> </w:t>
      </w:r>
      <w:r w:rsidRPr="00077064">
        <w:rPr>
          <w:szCs w:val="24"/>
        </w:rPr>
        <w:t xml:space="preserve">under </w:t>
      </w:r>
      <w:r w:rsidR="004457AF">
        <w:rPr>
          <w:szCs w:val="24"/>
        </w:rPr>
        <w:t xml:space="preserve">HUD’s </w:t>
      </w:r>
      <w:r w:rsidRPr="00077064">
        <w:rPr>
          <w:szCs w:val="24"/>
        </w:rPr>
        <w:t>Section 504</w:t>
      </w:r>
      <w:r w:rsidR="004457AF">
        <w:rPr>
          <w:szCs w:val="24"/>
        </w:rPr>
        <w:t xml:space="preserve"> regulations as well as the ADA</w:t>
      </w:r>
      <w:r w:rsidRPr="00077064">
        <w:rPr>
          <w:szCs w:val="24"/>
        </w:rPr>
        <w:t xml:space="preserve">. For some </w:t>
      </w:r>
      <w:r w:rsidR="005B7BE7">
        <w:rPr>
          <w:szCs w:val="24"/>
        </w:rPr>
        <w:t>P</w:t>
      </w:r>
      <w:r w:rsidRPr="00077064">
        <w:rPr>
          <w:szCs w:val="24"/>
        </w:rPr>
        <w:t>rojects, “other alterations” are made over time. If other alterations, considered together, amount to an alteration of an entire dwelling unit, the entire dwelling unit shall be made accessible.</w:t>
      </w:r>
    </w:p>
    <w:p w14:paraId="7F57C4C4" w14:textId="77777777" w:rsidR="00A14DCD" w:rsidRPr="00077064" w:rsidRDefault="00A14DCD" w:rsidP="00A14DCD">
      <w:pPr>
        <w:spacing w:after="12"/>
        <w:ind w:left="360"/>
        <w:rPr>
          <w:szCs w:val="24"/>
        </w:rPr>
      </w:pPr>
    </w:p>
    <w:p w14:paraId="7F57C4C5" w14:textId="256E7E0E" w:rsidR="00A14DCD" w:rsidRDefault="000078CE" w:rsidP="00A14DCD">
      <w:pPr>
        <w:spacing w:after="12"/>
        <w:ind w:left="360"/>
        <w:rPr>
          <w:szCs w:val="24"/>
        </w:rPr>
      </w:pPr>
      <w:r>
        <w:rPr>
          <w:szCs w:val="24"/>
        </w:rPr>
        <w:t>Project Owner</w:t>
      </w:r>
      <w:r w:rsidR="00A14DCD" w:rsidRPr="00077064">
        <w:rPr>
          <w:szCs w:val="24"/>
        </w:rPr>
        <w:t xml:space="preserve">s are encouraged to use universal design principles, visitability principles, and active design guidelines in planning any construction. However, adherence to </w:t>
      </w:r>
      <w:r w:rsidR="004457AF">
        <w:rPr>
          <w:szCs w:val="24"/>
        </w:rPr>
        <w:t>any of these principles or guidelines</w:t>
      </w:r>
      <w:r w:rsidR="00A14DCD" w:rsidRPr="00077064">
        <w:rPr>
          <w:szCs w:val="24"/>
        </w:rPr>
        <w:t xml:space="preserve"> does not replace compliance with the accessibility requirements of Section 504, the ADA, and the Fair Housing Act.</w:t>
      </w:r>
    </w:p>
    <w:p w14:paraId="3E75BE66" w14:textId="4BD1D964" w:rsidR="00FC04D8" w:rsidRDefault="00FC04D8" w:rsidP="00A14DCD">
      <w:pPr>
        <w:spacing w:after="12"/>
        <w:ind w:left="360"/>
        <w:rPr>
          <w:szCs w:val="24"/>
        </w:rPr>
      </w:pPr>
    </w:p>
    <w:p w14:paraId="2F28D075" w14:textId="208E72FA" w:rsidR="00E018D4" w:rsidRPr="00E018D4" w:rsidRDefault="00E018D4" w:rsidP="00794828">
      <w:pPr>
        <w:numPr>
          <w:ilvl w:val="0"/>
          <w:numId w:val="17"/>
        </w:numPr>
        <w:spacing w:after="12"/>
        <w:ind w:left="360"/>
        <w:rPr>
          <w:szCs w:val="24"/>
        </w:rPr>
      </w:pPr>
      <w:r w:rsidRPr="00531525">
        <w:rPr>
          <w:b/>
          <w:szCs w:val="24"/>
        </w:rPr>
        <w:t xml:space="preserve">Design </w:t>
      </w:r>
      <w:r w:rsidRPr="009319CB">
        <w:rPr>
          <w:b/>
          <w:szCs w:val="24"/>
        </w:rPr>
        <w:t>Considerations for Elderly Housing</w:t>
      </w:r>
      <w:r w:rsidRPr="00531525">
        <w:rPr>
          <w:szCs w:val="24"/>
        </w:rPr>
        <w:t>.</w:t>
      </w:r>
      <w:r w:rsidRPr="009319CB">
        <w:rPr>
          <w:szCs w:val="24"/>
        </w:rPr>
        <w:t xml:space="preserve"> </w:t>
      </w:r>
      <w:r w:rsidR="004000F3">
        <w:rPr>
          <w:szCs w:val="24"/>
        </w:rPr>
        <w:t>Quality h</w:t>
      </w:r>
      <w:r w:rsidRPr="009319CB">
        <w:rPr>
          <w:szCs w:val="24"/>
        </w:rPr>
        <w:t>ousing is a platform for health</w:t>
      </w:r>
      <w:r w:rsidR="004000F3">
        <w:rPr>
          <w:szCs w:val="24"/>
        </w:rPr>
        <w:t xml:space="preserve"> and wellness</w:t>
      </w:r>
      <w:r w:rsidRPr="009319CB">
        <w:rPr>
          <w:szCs w:val="24"/>
        </w:rPr>
        <w:t xml:space="preserve">. Health can be promoted through both supportive services (as described above) and through </w:t>
      </w:r>
      <w:r w:rsidR="00713F1E">
        <w:rPr>
          <w:szCs w:val="24"/>
        </w:rPr>
        <w:t>a</w:t>
      </w:r>
      <w:r w:rsidRPr="009319CB">
        <w:rPr>
          <w:szCs w:val="24"/>
        </w:rPr>
        <w:t xml:space="preserve"> physical li</w:t>
      </w:r>
      <w:r w:rsidRPr="00300D50">
        <w:rPr>
          <w:szCs w:val="24"/>
        </w:rPr>
        <w:t>ving environment</w:t>
      </w:r>
      <w:r w:rsidR="00713F1E">
        <w:rPr>
          <w:szCs w:val="24"/>
        </w:rPr>
        <w:t xml:space="preserve"> suitable for the needs of the anticipated residents</w:t>
      </w:r>
      <w:r w:rsidRPr="00300D50">
        <w:rPr>
          <w:szCs w:val="24"/>
        </w:rPr>
        <w:t>. In the context of housing for the elderly, enhanc</w:t>
      </w:r>
      <w:r w:rsidR="00CC6247">
        <w:rPr>
          <w:szCs w:val="24"/>
        </w:rPr>
        <w:t>ed</w:t>
      </w:r>
      <w:r w:rsidRPr="00300D50">
        <w:rPr>
          <w:szCs w:val="24"/>
        </w:rPr>
        <w:t xml:space="preserve"> livability of the physical environment promotes housing stability and may prevent premature institutionalization in </w:t>
      </w:r>
      <w:r w:rsidR="00D717C4">
        <w:rPr>
          <w:szCs w:val="24"/>
        </w:rPr>
        <w:t xml:space="preserve">assisted living or </w:t>
      </w:r>
      <w:r w:rsidRPr="00300D50">
        <w:rPr>
          <w:szCs w:val="24"/>
        </w:rPr>
        <w:t>nursing homes. A well-situated, well-designed physical space at the unit and building level can help seniors maintain independence and age in place longer. In addition to any applicable required accessibility feature</w:t>
      </w:r>
      <w:r w:rsidR="00D717C4">
        <w:rPr>
          <w:szCs w:val="24"/>
        </w:rPr>
        <w:t>s</w:t>
      </w:r>
      <w:r w:rsidRPr="00300D50">
        <w:rPr>
          <w:szCs w:val="24"/>
        </w:rPr>
        <w:t xml:space="preserve"> under Section 504 of the Rehabilitation Act of 1973, the design and construction requirements of the Fai</w:t>
      </w:r>
      <w:r w:rsidRPr="00F17071">
        <w:rPr>
          <w:szCs w:val="24"/>
        </w:rPr>
        <w:t xml:space="preserve">r Housing Act, or Title II of the Americans with Disabilities Act, the Department strongly encourages </w:t>
      </w:r>
      <w:r w:rsidR="00D717C4">
        <w:rPr>
          <w:szCs w:val="24"/>
        </w:rPr>
        <w:t>Project Owners</w:t>
      </w:r>
      <w:r w:rsidRPr="00F17071">
        <w:rPr>
          <w:szCs w:val="24"/>
        </w:rPr>
        <w:t xml:space="preserve"> to incorporate design standards that address fall prevention, visitability, universal design, and electronic communication mechanisms when developing </w:t>
      </w:r>
      <w:r w:rsidR="00D717C4">
        <w:rPr>
          <w:szCs w:val="24"/>
        </w:rPr>
        <w:t xml:space="preserve">or rehabilitating </w:t>
      </w:r>
      <w:r w:rsidRPr="00F17071">
        <w:rPr>
          <w:szCs w:val="24"/>
        </w:rPr>
        <w:t>housing and community facilities</w:t>
      </w:r>
      <w:r w:rsidR="004000F3">
        <w:rPr>
          <w:szCs w:val="24"/>
        </w:rPr>
        <w:t>. Owners are expected</w:t>
      </w:r>
      <w:r w:rsidRPr="00F17071">
        <w:rPr>
          <w:szCs w:val="24"/>
        </w:rPr>
        <w:t xml:space="preserve"> to consider access to transportation and walkability to the surrounding community and neighborhood services when selecting sites</w:t>
      </w:r>
      <w:r w:rsidR="00D717C4">
        <w:rPr>
          <w:szCs w:val="24"/>
        </w:rPr>
        <w:t xml:space="preserve"> for a transfer of assistance</w:t>
      </w:r>
      <w:r w:rsidRPr="00F17071">
        <w:rPr>
          <w:szCs w:val="24"/>
        </w:rPr>
        <w:t>. These design elements and siting decisions all can serve to enhance the livability of housing for older adults and promote housing stability.</w:t>
      </w:r>
    </w:p>
    <w:p w14:paraId="7F57C4C6" w14:textId="77777777" w:rsidR="00A14DCD" w:rsidRPr="00077064" w:rsidRDefault="00A14DCD" w:rsidP="00A14DCD">
      <w:pPr>
        <w:spacing w:after="12"/>
        <w:ind w:left="360"/>
        <w:rPr>
          <w:szCs w:val="24"/>
        </w:rPr>
      </w:pPr>
    </w:p>
    <w:p w14:paraId="7F57C4C7" w14:textId="10899630" w:rsidR="00A14DCD" w:rsidRPr="00077064" w:rsidRDefault="00A14DCD" w:rsidP="00794828">
      <w:pPr>
        <w:numPr>
          <w:ilvl w:val="0"/>
          <w:numId w:val="17"/>
        </w:numPr>
        <w:spacing w:after="12"/>
        <w:ind w:left="360"/>
        <w:rPr>
          <w:szCs w:val="24"/>
          <w:u w:val="single"/>
        </w:rPr>
      </w:pPr>
      <w:r w:rsidRPr="00077064">
        <w:rPr>
          <w:b/>
          <w:szCs w:val="24"/>
        </w:rPr>
        <w:t>Site Selection and Neighborhood Standards</w:t>
      </w:r>
      <w:r w:rsidR="00AD131C">
        <w:rPr>
          <w:b/>
          <w:szCs w:val="24"/>
        </w:rPr>
        <w:t xml:space="preserve">. </w:t>
      </w:r>
      <w:r w:rsidRPr="00077064">
        <w:rPr>
          <w:szCs w:val="24"/>
        </w:rPr>
        <w:t>Where a</w:t>
      </w:r>
      <w:r w:rsidR="000078CE">
        <w:rPr>
          <w:szCs w:val="24"/>
        </w:rPr>
        <w:t xml:space="preserve"> Project Owner</w:t>
      </w:r>
      <w:r w:rsidRPr="00077064">
        <w:rPr>
          <w:szCs w:val="24"/>
        </w:rPr>
        <w:t xml:space="preserve"> is planning to convert assistance under RAD, the </w:t>
      </w:r>
      <w:r w:rsidR="000078CE">
        <w:rPr>
          <w:szCs w:val="24"/>
        </w:rPr>
        <w:t>Project Owner</w:t>
      </w:r>
      <w:r w:rsidRPr="00077064">
        <w:rPr>
          <w:szCs w:val="24"/>
        </w:rPr>
        <w:t xml:space="preserve"> must comply with all applicable site selection requi</w:t>
      </w:r>
      <w:r w:rsidR="00364AB7">
        <w:rPr>
          <w:szCs w:val="24"/>
        </w:rPr>
        <w:t xml:space="preserve">rements, including those of </w:t>
      </w:r>
      <w:r w:rsidRPr="00077064">
        <w:rPr>
          <w:szCs w:val="24"/>
        </w:rPr>
        <w:t xml:space="preserve">24 CFR § 983.57 </w:t>
      </w:r>
      <w:r w:rsidR="00364AB7">
        <w:rPr>
          <w:szCs w:val="24"/>
        </w:rPr>
        <w:t>for PBV</w:t>
      </w:r>
      <w:r w:rsidR="00153847">
        <w:rPr>
          <w:szCs w:val="24"/>
        </w:rPr>
        <w:t xml:space="preserve"> (except as waived in Section 4.5.E)</w:t>
      </w:r>
      <w:r w:rsidR="00364AB7">
        <w:rPr>
          <w:szCs w:val="24"/>
        </w:rPr>
        <w:t xml:space="preserve"> </w:t>
      </w:r>
      <w:r w:rsidRPr="00077064">
        <w:rPr>
          <w:szCs w:val="24"/>
        </w:rPr>
        <w:t>and Appendix III of this Notice for PBRA, and of the Fair Housing Act and Title VI of the Civil Rights Act of 1964, including implementing regulations at 24 CFR § 1.4(b)(3), and of Section 504 of the Rehabilitation Act of 1973, including implementing regulations at 24 CFR § 8.4(b)(5). </w:t>
      </w:r>
    </w:p>
    <w:p w14:paraId="7F57C4C8" w14:textId="77777777" w:rsidR="00A14DCD" w:rsidRPr="00077064" w:rsidRDefault="00A14DCD" w:rsidP="00A14DCD">
      <w:pPr>
        <w:autoSpaceDE w:val="0"/>
        <w:autoSpaceDN w:val="0"/>
        <w:adjustRightInd w:val="0"/>
        <w:spacing w:after="12"/>
        <w:ind w:left="360"/>
        <w:rPr>
          <w:szCs w:val="24"/>
        </w:rPr>
      </w:pPr>
    </w:p>
    <w:p w14:paraId="7F57C4C9" w14:textId="7FB20BFB" w:rsidR="00A14DCD" w:rsidRPr="00077064" w:rsidRDefault="00A14DCD" w:rsidP="00794828">
      <w:pPr>
        <w:numPr>
          <w:ilvl w:val="0"/>
          <w:numId w:val="17"/>
        </w:numPr>
        <w:spacing w:after="12"/>
        <w:ind w:left="360"/>
        <w:rPr>
          <w:szCs w:val="24"/>
        </w:rPr>
      </w:pPr>
      <w:r w:rsidRPr="00077064">
        <w:rPr>
          <w:b/>
          <w:szCs w:val="24"/>
        </w:rPr>
        <w:t>Change in Unit Configuration.</w:t>
      </w:r>
      <w:r w:rsidRPr="00077064">
        <w:rPr>
          <w:szCs w:val="24"/>
        </w:rPr>
        <w:t xml:space="preserve"> </w:t>
      </w:r>
      <w:r w:rsidR="000078CE">
        <w:rPr>
          <w:szCs w:val="24"/>
        </w:rPr>
        <w:t>Project Owner</w:t>
      </w:r>
      <w:r w:rsidRPr="00077064">
        <w:rPr>
          <w:szCs w:val="24"/>
        </w:rPr>
        <w:t xml:space="preserve">s may change the unit configuration </w:t>
      </w:r>
      <w:r>
        <w:rPr>
          <w:szCs w:val="24"/>
        </w:rPr>
        <w:t>in conjunction with</w:t>
      </w:r>
      <w:r w:rsidRPr="00077064">
        <w:rPr>
          <w:szCs w:val="24"/>
        </w:rPr>
        <w:t xml:space="preserve"> conversion (e.g., c</w:t>
      </w:r>
      <w:r w:rsidR="002C561B">
        <w:rPr>
          <w:szCs w:val="24"/>
        </w:rPr>
        <w:t>onverting</w:t>
      </w:r>
      <w:r w:rsidRPr="00077064">
        <w:rPr>
          <w:szCs w:val="24"/>
        </w:rPr>
        <w:t xml:space="preserve"> efficienc</w:t>
      </w:r>
      <w:r w:rsidR="002C561B">
        <w:rPr>
          <w:szCs w:val="24"/>
        </w:rPr>
        <w:t>y units</w:t>
      </w:r>
      <w:r w:rsidRPr="00077064">
        <w:rPr>
          <w:szCs w:val="24"/>
        </w:rPr>
        <w:t xml:space="preserve"> </w:t>
      </w:r>
      <w:r w:rsidR="00D920AF">
        <w:rPr>
          <w:szCs w:val="24"/>
        </w:rPr>
        <w:t xml:space="preserve">to </w:t>
      </w:r>
      <w:r w:rsidRPr="00077064">
        <w:rPr>
          <w:szCs w:val="24"/>
        </w:rPr>
        <w:t xml:space="preserve">one-bedroom </w:t>
      </w:r>
      <w:r w:rsidR="002C561B">
        <w:rPr>
          <w:szCs w:val="24"/>
        </w:rPr>
        <w:t>uni</w:t>
      </w:r>
      <w:r w:rsidRPr="00077064">
        <w:rPr>
          <w:szCs w:val="24"/>
        </w:rPr>
        <w:t>ts</w:t>
      </w:r>
      <w:r>
        <w:rPr>
          <w:szCs w:val="24"/>
        </w:rPr>
        <w:t>)</w:t>
      </w:r>
      <w:r w:rsidR="0043258D">
        <w:rPr>
          <w:szCs w:val="24"/>
        </w:rPr>
        <w:t xml:space="preserve">. </w:t>
      </w:r>
      <w:r w:rsidR="009C0E6B">
        <w:rPr>
          <w:szCs w:val="24"/>
        </w:rPr>
        <w:t>H</w:t>
      </w:r>
      <w:r w:rsidRPr="00077064">
        <w:rPr>
          <w:szCs w:val="24"/>
        </w:rPr>
        <w:t>owever</w:t>
      </w:r>
      <w:r>
        <w:rPr>
          <w:szCs w:val="24"/>
        </w:rPr>
        <w:t>,</w:t>
      </w:r>
      <w:r w:rsidRPr="00077064">
        <w:rPr>
          <w:szCs w:val="24"/>
        </w:rPr>
        <w:t xml:space="preserve"> the </w:t>
      </w:r>
      <w:r w:rsidR="000078CE">
        <w:rPr>
          <w:szCs w:val="24"/>
        </w:rPr>
        <w:t>Project Owner</w:t>
      </w:r>
      <w:r w:rsidRPr="00077064">
        <w:rPr>
          <w:szCs w:val="24"/>
        </w:rPr>
        <w:t xml:space="preserve"> must ensure that the change in bedroom distribution will not result in the involuntary permanent </w:t>
      </w:r>
      <w:r w:rsidRPr="0043258D">
        <w:rPr>
          <w:szCs w:val="24"/>
        </w:rPr>
        <w:t xml:space="preserve">displacement of any resident (see Section </w:t>
      </w:r>
      <w:r w:rsidR="00877592" w:rsidRPr="0043258D">
        <w:rPr>
          <w:szCs w:val="24"/>
        </w:rPr>
        <w:t>4</w:t>
      </w:r>
      <w:r w:rsidRPr="0043258D">
        <w:rPr>
          <w:szCs w:val="24"/>
        </w:rPr>
        <w:t>.4.</w:t>
      </w:r>
      <w:r w:rsidR="00A0612D" w:rsidRPr="0043258D">
        <w:rPr>
          <w:szCs w:val="24"/>
        </w:rPr>
        <w:t>M</w:t>
      </w:r>
      <w:r w:rsidRPr="0043258D">
        <w:rPr>
          <w:szCs w:val="24"/>
        </w:rPr>
        <w:t xml:space="preserve"> on Relocation and Right to Return)</w:t>
      </w:r>
      <w:r w:rsidR="004457AF" w:rsidRPr="0043258D">
        <w:rPr>
          <w:szCs w:val="24"/>
        </w:rPr>
        <w:t>, will not result in a reduction in accessible units below the minimum percentage,</w:t>
      </w:r>
      <w:r w:rsidRPr="0043258D">
        <w:rPr>
          <w:szCs w:val="24"/>
        </w:rPr>
        <w:t xml:space="preserve"> and will </w:t>
      </w:r>
      <w:r w:rsidR="002C561B" w:rsidRPr="0043258D">
        <w:rPr>
          <w:szCs w:val="24"/>
        </w:rPr>
        <w:t>not</w:t>
      </w:r>
      <w:r w:rsidR="00B67312" w:rsidRPr="0043258D">
        <w:rPr>
          <w:szCs w:val="24"/>
        </w:rPr>
        <w:t>, except with HUD approval,</w:t>
      </w:r>
      <w:r w:rsidR="002C561B" w:rsidRPr="0043258D">
        <w:rPr>
          <w:szCs w:val="24"/>
        </w:rPr>
        <w:t xml:space="preserve"> </w:t>
      </w:r>
      <w:r w:rsidR="007260A4" w:rsidRPr="0043258D">
        <w:rPr>
          <w:szCs w:val="24"/>
        </w:rPr>
        <w:t>result in a reduction</w:t>
      </w:r>
      <w:r w:rsidR="002C561B" w:rsidRPr="0043258D">
        <w:rPr>
          <w:szCs w:val="24"/>
        </w:rPr>
        <w:t xml:space="preserve"> in the number of assisted</w:t>
      </w:r>
      <w:r w:rsidR="007260A4" w:rsidRPr="0043258D">
        <w:rPr>
          <w:szCs w:val="24"/>
        </w:rPr>
        <w:t xml:space="preserve"> units </w:t>
      </w:r>
      <w:r w:rsidR="002C561B" w:rsidRPr="0043258D">
        <w:rPr>
          <w:szCs w:val="24"/>
        </w:rPr>
        <w:t>by the greater of 5% or five units</w:t>
      </w:r>
      <w:r w:rsidR="0043258D" w:rsidRPr="0043258D">
        <w:rPr>
          <w:szCs w:val="24"/>
        </w:rPr>
        <w:t xml:space="preserve">. </w:t>
      </w:r>
      <w:r w:rsidR="002C561B" w:rsidRPr="0043258D">
        <w:rPr>
          <w:szCs w:val="24"/>
        </w:rPr>
        <w:t>The Project Owner must also ensure that a change in unit configuration not result in discrimination</w:t>
      </w:r>
      <w:r w:rsidR="002C561B" w:rsidRPr="00077064">
        <w:rPr>
          <w:szCs w:val="24"/>
        </w:rPr>
        <w:t xml:space="preserve"> based on race, color, national origin, religion, sex, disability, or familial status. </w:t>
      </w:r>
    </w:p>
    <w:p w14:paraId="7F57C4CA" w14:textId="77777777" w:rsidR="00A14DCD" w:rsidRPr="00077064" w:rsidRDefault="00A14DCD" w:rsidP="00A14DCD">
      <w:pPr>
        <w:ind w:left="360"/>
        <w:contextualSpacing/>
        <w:rPr>
          <w:szCs w:val="24"/>
        </w:rPr>
      </w:pPr>
    </w:p>
    <w:p w14:paraId="7F57C4CB" w14:textId="219AE07D" w:rsidR="00A14DCD" w:rsidRPr="00077064" w:rsidRDefault="00A14DCD" w:rsidP="00794828">
      <w:pPr>
        <w:numPr>
          <w:ilvl w:val="0"/>
          <w:numId w:val="17"/>
        </w:numPr>
        <w:spacing w:after="12"/>
        <w:ind w:left="360"/>
        <w:contextualSpacing/>
        <w:rPr>
          <w:szCs w:val="24"/>
        </w:rPr>
      </w:pPr>
      <w:r w:rsidRPr="00077064">
        <w:rPr>
          <w:b/>
          <w:szCs w:val="24"/>
        </w:rPr>
        <w:t>Transfer of Assistance</w:t>
      </w:r>
      <w:r w:rsidR="004457AF">
        <w:rPr>
          <w:b/>
          <w:szCs w:val="24"/>
        </w:rPr>
        <w:t xml:space="preserve"> (TOA)</w:t>
      </w:r>
      <w:r w:rsidRPr="00077064">
        <w:rPr>
          <w:b/>
          <w:szCs w:val="24"/>
        </w:rPr>
        <w:t>.</w:t>
      </w:r>
      <w:r w:rsidRPr="00077064">
        <w:rPr>
          <w:szCs w:val="24"/>
        </w:rPr>
        <w:t xml:space="preserve"> In order to facilitate the financing, development, and preservation of decent, safe, and</w:t>
      </w:r>
      <w:r w:rsidR="000D294C">
        <w:rPr>
          <w:szCs w:val="24"/>
        </w:rPr>
        <w:t xml:space="preserve"> sanitary</w:t>
      </w:r>
      <w:r w:rsidRPr="00077064">
        <w:rPr>
          <w:szCs w:val="24"/>
        </w:rPr>
        <w:t xml:space="preserve"> affordable housing, there are three scenarios under which assistance converted pursuant to RAD may be transferred </w:t>
      </w:r>
      <w:r w:rsidR="00161B05">
        <w:rPr>
          <w:szCs w:val="24"/>
        </w:rPr>
        <w:t xml:space="preserve">from </w:t>
      </w:r>
      <w:r w:rsidR="009C0E6B">
        <w:rPr>
          <w:szCs w:val="24"/>
        </w:rPr>
        <w:t xml:space="preserve">the </w:t>
      </w:r>
      <w:r w:rsidR="00161B05">
        <w:rPr>
          <w:szCs w:val="24"/>
        </w:rPr>
        <w:t xml:space="preserve">existing </w:t>
      </w:r>
      <w:r w:rsidR="005B7BE7">
        <w:rPr>
          <w:szCs w:val="24"/>
        </w:rPr>
        <w:t>P</w:t>
      </w:r>
      <w:r w:rsidR="00161B05">
        <w:rPr>
          <w:szCs w:val="24"/>
        </w:rPr>
        <w:t>roject</w:t>
      </w:r>
      <w:r w:rsidRPr="00077064">
        <w:rPr>
          <w:szCs w:val="24"/>
        </w:rPr>
        <w:t xml:space="preserve"> (for the purposes of this paragraph, transfer of assistance does not include transfers to an adjacent site): (1) the </w:t>
      </w:r>
      <w:r w:rsidR="000078CE">
        <w:rPr>
          <w:szCs w:val="24"/>
        </w:rPr>
        <w:t>Project Owner</w:t>
      </w:r>
      <w:r w:rsidRPr="00077064">
        <w:rPr>
          <w:szCs w:val="24"/>
        </w:rPr>
        <w:t xml:space="preserve"> requests assistance to be transferred as part of the conversion from </w:t>
      </w:r>
      <w:r w:rsidR="00161B05">
        <w:rPr>
          <w:szCs w:val="24"/>
        </w:rPr>
        <w:t xml:space="preserve">a </w:t>
      </w:r>
      <w:r w:rsidRPr="00077064">
        <w:rPr>
          <w:szCs w:val="24"/>
        </w:rPr>
        <w:t xml:space="preserve">Converting Project to </w:t>
      </w:r>
      <w:r w:rsidR="00CC6247">
        <w:rPr>
          <w:szCs w:val="24"/>
        </w:rPr>
        <w:t xml:space="preserve">another </w:t>
      </w:r>
      <w:r w:rsidRPr="00077064">
        <w:rPr>
          <w:szCs w:val="24"/>
        </w:rPr>
        <w:t>Project; (2) post-conversion</w:t>
      </w:r>
      <w:r w:rsidR="0043258D">
        <w:rPr>
          <w:szCs w:val="24"/>
        </w:rPr>
        <w:t>,</w:t>
      </w:r>
      <w:r w:rsidRPr="00077064">
        <w:rPr>
          <w:szCs w:val="24"/>
        </w:rPr>
        <w:t xml:space="preserve"> </w:t>
      </w:r>
      <w:r w:rsidR="00161B05">
        <w:rPr>
          <w:szCs w:val="24"/>
        </w:rPr>
        <w:t xml:space="preserve">the </w:t>
      </w:r>
      <w:r w:rsidRPr="00077064">
        <w:rPr>
          <w:szCs w:val="24"/>
        </w:rPr>
        <w:t xml:space="preserve"> Project </w:t>
      </w:r>
      <w:r w:rsidR="00CA79EC">
        <w:rPr>
          <w:szCs w:val="24"/>
        </w:rPr>
        <w:t>Owner</w:t>
      </w:r>
      <w:r w:rsidRPr="00077064">
        <w:rPr>
          <w:szCs w:val="24"/>
        </w:rPr>
        <w:t xml:space="preserve"> requests a partial or full transfer of assistance</w:t>
      </w:r>
      <w:r w:rsidR="00161B05">
        <w:rPr>
          <w:szCs w:val="24"/>
        </w:rPr>
        <w:t xml:space="preserve"> to another </w:t>
      </w:r>
      <w:r w:rsidR="005B7BE7">
        <w:rPr>
          <w:szCs w:val="24"/>
        </w:rPr>
        <w:t>P</w:t>
      </w:r>
      <w:r w:rsidR="00161B05">
        <w:rPr>
          <w:szCs w:val="24"/>
        </w:rPr>
        <w:t>roject</w:t>
      </w:r>
      <w:r w:rsidR="00C4510F">
        <w:rPr>
          <w:szCs w:val="24"/>
        </w:rPr>
        <w:t>;</w:t>
      </w:r>
      <w:r w:rsidRPr="00077064">
        <w:rPr>
          <w:szCs w:val="24"/>
        </w:rPr>
        <w:t xml:space="preserve"> or (3) as a result of a default of the HAP Contract, HUD terminates the HAP Contract</w:t>
      </w:r>
      <w:r w:rsidR="00161B05">
        <w:rPr>
          <w:szCs w:val="24"/>
        </w:rPr>
        <w:t xml:space="preserve"> but seeks to preserve the assistance</w:t>
      </w:r>
      <w:r w:rsidRPr="00077064">
        <w:rPr>
          <w:szCs w:val="24"/>
        </w:rPr>
        <w:t xml:space="preserve">. </w:t>
      </w:r>
    </w:p>
    <w:p w14:paraId="7F57C4CC" w14:textId="77777777" w:rsidR="00A14DCD" w:rsidRPr="00077064" w:rsidRDefault="00A14DCD" w:rsidP="00A14DCD">
      <w:pPr>
        <w:spacing w:after="12"/>
        <w:ind w:left="360"/>
        <w:contextualSpacing/>
        <w:rPr>
          <w:szCs w:val="24"/>
        </w:rPr>
      </w:pPr>
    </w:p>
    <w:p w14:paraId="7F57C4CD" w14:textId="03472B48" w:rsidR="00A14DCD" w:rsidRPr="00077064" w:rsidRDefault="00A14DCD" w:rsidP="00A14DCD">
      <w:pPr>
        <w:spacing w:after="12"/>
        <w:ind w:left="360"/>
        <w:contextualSpacing/>
        <w:rPr>
          <w:szCs w:val="24"/>
        </w:rPr>
      </w:pPr>
      <w:r w:rsidRPr="00077064">
        <w:rPr>
          <w:szCs w:val="24"/>
        </w:rPr>
        <w:t xml:space="preserve">HUD will </w:t>
      </w:r>
      <w:r w:rsidR="00BA5A14">
        <w:rPr>
          <w:szCs w:val="24"/>
        </w:rPr>
        <w:t>ascertain</w:t>
      </w:r>
      <w:r w:rsidR="00BA5A14" w:rsidRPr="00077064">
        <w:rPr>
          <w:szCs w:val="24"/>
        </w:rPr>
        <w:t xml:space="preserve"> </w:t>
      </w:r>
      <w:r w:rsidRPr="00077064">
        <w:rPr>
          <w:szCs w:val="24"/>
        </w:rPr>
        <w:t xml:space="preserve">that </w:t>
      </w:r>
      <w:r w:rsidR="0087796A">
        <w:rPr>
          <w:szCs w:val="24"/>
        </w:rPr>
        <w:t xml:space="preserve">assistance does not transfer to </w:t>
      </w:r>
      <w:r w:rsidRPr="00077064">
        <w:rPr>
          <w:szCs w:val="24"/>
        </w:rPr>
        <w:t xml:space="preserve">neighborhoods with highly concentrated poverty based on the criteria formulated for transfers under </w:t>
      </w:r>
      <w:r w:rsidR="00C4510F">
        <w:rPr>
          <w:szCs w:val="24"/>
        </w:rPr>
        <w:t xml:space="preserve">section </w:t>
      </w:r>
      <w:r w:rsidRPr="00077064">
        <w:rPr>
          <w:szCs w:val="24"/>
        </w:rPr>
        <w:t>8(bb) of the Act</w:t>
      </w:r>
      <w:r w:rsidR="0087796A">
        <w:rPr>
          <w:szCs w:val="24"/>
        </w:rPr>
        <w:t>.</w:t>
      </w:r>
      <w:r w:rsidRPr="00077064">
        <w:rPr>
          <w:szCs w:val="24"/>
          <w:vertAlign w:val="superscript"/>
        </w:rPr>
        <w:footnoteReference w:id="5"/>
      </w:r>
      <w:r w:rsidR="00C75710">
        <w:rPr>
          <w:szCs w:val="24"/>
        </w:rPr>
        <w:t xml:space="preserve"> </w:t>
      </w:r>
      <w:r w:rsidRPr="00077064">
        <w:rPr>
          <w:szCs w:val="24"/>
        </w:rPr>
        <w:t>Further, HUD will consider whether conversion on-site is economically non-viable; whether the Converting Project is physically obsolete or severely distressed; how the transfer would affect the Converting Project’s residents; and all applicable fair housing and civil rights requirements.</w:t>
      </w:r>
      <w:r w:rsidRPr="00077064">
        <w:rPr>
          <w:szCs w:val="24"/>
          <w:vertAlign w:val="superscript"/>
        </w:rPr>
        <w:footnoteReference w:id="6"/>
      </w:r>
      <w:r w:rsidRPr="00077064">
        <w:rPr>
          <w:szCs w:val="24"/>
        </w:rPr>
        <w:t xml:space="preserve"> </w:t>
      </w:r>
      <w:r w:rsidR="000078CE">
        <w:rPr>
          <w:szCs w:val="24"/>
        </w:rPr>
        <w:t>Project Owner</w:t>
      </w:r>
      <w:r w:rsidRPr="00077064">
        <w:rPr>
          <w:szCs w:val="24"/>
        </w:rPr>
        <w:t xml:space="preserve">s are strongly encouraged to request HUD approval of the proposed site prior to submission of the </w:t>
      </w:r>
      <w:r w:rsidR="00452A24">
        <w:rPr>
          <w:szCs w:val="24"/>
        </w:rPr>
        <w:t>Conversion</w:t>
      </w:r>
      <w:r w:rsidRPr="00077064">
        <w:rPr>
          <w:szCs w:val="24"/>
        </w:rPr>
        <w:t xml:space="preserve"> Plan.</w:t>
      </w:r>
    </w:p>
    <w:p w14:paraId="7F57C4CE" w14:textId="77777777" w:rsidR="00A14DCD" w:rsidRPr="00077064" w:rsidRDefault="00A14DCD" w:rsidP="00A14DCD">
      <w:pPr>
        <w:spacing w:after="12"/>
        <w:ind w:left="360"/>
        <w:contextualSpacing/>
        <w:rPr>
          <w:szCs w:val="24"/>
        </w:rPr>
      </w:pPr>
    </w:p>
    <w:p w14:paraId="7F57C4CF" w14:textId="09B7D9D5" w:rsidR="00A14DCD" w:rsidRPr="00077064" w:rsidRDefault="00A14DCD" w:rsidP="00A14DCD">
      <w:pPr>
        <w:spacing w:after="12"/>
        <w:ind w:left="360"/>
        <w:contextualSpacing/>
        <w:rPr>
          <w:szCs w:val="24"/>
        </w:rPr>
      </w:pPr>
      <w:r w:rsidRPr="00077064">
        <w:rPr>
          <w:szCs w:val="24"/>
        </w:rPr>
        <w:t>For</w:t>
      </w:r>
      <w:r>
        <w:rPr>
          <w:szCs w:val="24"/>
        </w:rPr>
        <w:t xml:space="preserve"> PBV</w:t>
      </w:r>
      <w:r w:rsidRPr="00077064">
        <w:rPr>
          <w:szCs w:val="24"/>
        </w:rPr>
        <w:t xml:space="preserve"> transfers of assistance to a new site, the </w:t>
      </w:r>
      <w:r w:rsidR="00165BDC">
        <w:rPr>
          <w:szCs w:val="24"/>
        </w:rPr>
        <w:t>PRAC</w:t>
      </w:r>
      <w:r w:rsidRPr="00077064">
        <w:rPr>
          <w:szCs w:val="24"/>
        </w:rPr>
        <w:t xml:space="preserve"> contract will remain in effect at the original site and will not be terminated until the units at the new site are ready for occupancy and the HAP Contract is executed.</w:t>
      </w:r>
      <w:r>
        <w:rPr>
          <w:szCs w:val="24"/>
        </w:rPr>
        <w:t xml:space="preserve"> For PBRA transfers of assistance, the HAP Contract can be executed at the clos</w:t>
      </w:r>
      <w:r w:rsidR="00C95D26">
        <w:rPr>
          <w:szCs w:val="24"/>
        </w:rPr>
        <w:t>ing</w:t>
      </w:r>
      <w:r>
        <w:rPr>
          <w:szCs w:val="24"/>
        </w:rPr>
        <w:t xml:space="preserve"> of </w:t>
      </w:r>
      <w:r w:rsidR="00C95D26">
        <w:rPr>
          <w:szCs w:val="24"/>
        </w:rPr>
        <w:t xml:space="preserve">the </w:t>
      </w:r>
      <w:r>
        <w:rPr>
          <w:szCs w:val="24"/>
        </w:rPr>
        <w:t xml:space="preserve">construction financing and the Project </w:t>
      </w:r>
      <w:r w:rsidR="00CA79EC">
        <w:rPr>
          <w:szCs w:val="24"/>
        </w:rPr>
        <w:t>Owner</w:t>
      </w:r>
      <w:r>
        <w:rPr>
          <w:szCs w:val="24"/>
        </w:rPr>
        <w:t xml:space="preserve"> </w:t>
      </w:r>
      <w:r w:rsidR="001278FF">
        <w:rPr>
          <w:szCs w:val="24"/>
        </w:rPr>
        <w:t xml:space="preserve">may </w:t>
      </w:r>
      <w:r>
        <w:rPr>
          <w:szCs w:val="24"/>
        </w:rPr>
        <w:t xml:space="preserve">use the </w:t>
      </w:r>
      <w:r w:rsidRPr="00077064">
        <w:rPr>
          <w:szCs w:val="24"/>
        </w:rPr>
        <w:t>Section 8 Pass-Through</w:t>
      </w:r>
      <w:r w:rsidR="00C95D26">
        <w:rPr>
          <w:szCs w:val="24"/>
        </w:rPr>
        <w:t xml:space="preserve"> to provide for the continued flow of subsidy during the construction period</w:t>
      </w:r>
      <w:r>
        <w:rPr>
          <w:szCs w:val="24"/>
        </w:rPr>
        <w:t>.</w:t>
      </w:r>
      <w:r w:rsidRPr="00077064">
        <w:rPr>
          <w:vertAlign w:val="superscript"/>
        </w:rPr>
        <w:footnoteReference w:id="7"/>
      </w:r>
      <w:r w:rsidRPr="00077064">
        <w:rPr>
          <w:szCs w:val="24"/>
        </w:rPr>
        <w:t xml:space="preserve"> </w:t>
      </w:r>
      <w:r>
        <w:rPr>
          <w:szCs w:val="24"/>
        </w:rPr>
        <w:t xml:space="preserve"> </w:t>
      </w:r>
    </w:p>
    <w:p w14:paraId="7F57C4D0" w14:textId="77777777" w:rsidR="00A14DCD" w:rsidRPr="00077064" w:rsidRDefault="00A14DCD" w:rsidP="00A14DCD">
      <w:pPr>
        <w:spacing w:after="12"/>
        <w:ind w:left="360"/>
        <w:contextualSpacing/>
        <w:rPr>
          <w:szCs w:val="24"/>
        </w:rPr>
      </w:pPr>
    </w:p>
    <w:p w14:paraId="7F57C4D1" w14:textId="66A2B725" w:rsidR="00A14DCD" w:rsidRDefault="00A14DCD" w:rsidP="00A14DCD">
      <w:pPr>
        <w:spacing w:after="12"/>
        <w:ind w:left="360"/>
        <w:contextualSpacing/>
        <w:rPr>
          <w:szCs w:val="24"/>
        </w:rPr>
      </w:pPr>
      <w:r w:rsidRPr="00077064">
        <w:rPr>
          <w:szCs w:val="24"/>
        </w:rPr>
        <w:t xml:space="preserve">After initial conversion, except with HUD approval, </w:t>
      </w:r>
      <w:r w:rsidR="0064217D">
        <w:rPr>
          <w:szCs w:val="24"/>
        </w:rPr>
        <w:t xml:space="preserve">the </w:t>
      </w:r>
      <w:r w:rsidR="000078CE">
        <w:rPr>
          <w:szCs w:val="24"/>
        </w:rPr>
        <w:t>Project Owner</w:t>
      </w:r>
      <w:r w:rsidRPr="00077064">
        <w:rPr>
          <w:szCs w:val="24"/>
        </w:rPr>
        <w:t xml:space="preserve"> may only request a transfer of assistance</w:t>
      </w:r>
      <w:r w:rsidR="00161B05">
        <w:rPr>
          <w:szCs w:val="24"/>
        </w:rPr>
        <w:t xml:space="preserve"> to another </w:t>
      </w:r>
      <w:r w:rsidR="009C0E6B">
        <w:rPr>
          <w:szCs w:val="24"/>
        </w:rPr>
        <w:t>P</w:t>
      </w:r>
      <w:r w:rsidR="00161B05">
        <w:rPr>
          <w:szCs w:val="24"/>
        </w:rPr>
        <w:t>roject</w:t>
      </w:r>
      <w:r w:rsidRPr="00077064">
        <w:rPr>
          <w:szCs w:val="24"/>
        </w:rPr>
        <w:t xml:space="preserve"> after 10 years from the effective date of the initial HAP Contract (unless a transfer is needed sooner as a result of unforeseen events such as a natural disaster). If applicable, any lender and/or investor of the Covered Project must </w:t>
      </w:r>
      <w:r w:rsidR="009C0E6B">
        <w:rPr>
          <w:szCs w:val="24"/>
        </w:rPr>
        <w:t xml:space="preserve">consent to </w:t>
      </w:r>
      <w:r w:rsidRPr="00077064">
        <w:rPr>
          <w:szCs w:val="24"/>
        </w:rPr>
        <w:t>the transfer of the assistance</w:t>
      </w:r>
      <w:r w:rsidR="0043258D">
        <w:rPr>
          <w:szCs w:val="24"/>
        </w:rPr>
        <w:t xml:space="preserve">. </w:t>
      </w:r>
      <w:r w:rsidR="009C0E6B">
        <w:rPr>
          <w:szCs w:val="24"/>
        </w:rPr>
        <w:t xml:space="preserve">For Projects assisted pursuant to a PBV HAP Contract, the </w:t>
      </w:r>
      <w:r w:rsidR="009C0E6B" w:rsidRPr="00077064">
        <w:rPr>
          <w:szCs w:val="24"/>
        </w:rPr>
        <w:t>PHA</w:t>
      </w:r>
      <w:r w:rsidR="009C0E6B">
        <w:rPr>
          <w:szCs w:val="24"/>
        </w:rPr>
        <w:t xml:space="preserve"> must consent to the transfer of assistance.</w:t>
      </w:r>
    </w:p>
    <w:p w14:paraId="7F57C4D2" w14:textId="77777777" w:rsidR="00E60208" w:rsidRDefault="00E60208" w:rsidP="00A14DCD">
      <w:pPr>
        <w:spacing w:after="12"/>
        <w:ind w:left="360"/>
        <w:contextualSpacing/>
        <w:rPr>
          <w:szCs w:val="24"/>
        </w:rPr>
      </w:pPr>
    </w:p>
    <w:p w14:paraId="7F57C4D3" w14:textId="1884A0DE" w:rsidR="00E60208" w:rsidRDefault="00E60208" w:rsidP="00794828">
      <w:pPr>
        <w:numPr>
          <w:ilvl w:val="0"/>
          <w:numId w:val="17"/>
        </w:numPr>
        <w:spacing w:after="12"/>
        <w:ind w:left="360"/>
        <w:contextualSpacing/>
        <w:rPr>
          <w:szCs w:val="24"/>
        </w:rPr>
      </w:pPr>
      <w:bookmarkStart w:id="144" w:name="_Hlk528854354"/>
      <w:bookmarkStart w:id="145" w:name="_Hlk529263353"/>
      <w:r w:rsidRPr="00E60208">
        <w:rPr>
          <w:b/>
          <w:szCs w:val="24"/>
        </w:rPr>
        <w:t>Davis</w:t>
      </w:r>
      <w:r w:rsidRPr="00AE31B1">
        <w:rPr>
          <w:b/>
          <w:szCs w:val="24"/>
        </w:rPr>
        <w:t>-Bacon</w:t>
      </w:r>
      <w:r w:rsidRPr="00AE31B1">
        <w:rPr>
          <w:szCs w:val="24"/>
        </w:rPr>
        <w:t>.</w:t>
      </w:r>
      <w:r w:rsidR="001D647C" w:rsidRPr="001D647C">
        <w:rPr>
          <w:szCs w:val="24"/>
        </w:rPr>
        <w:t xml:space="preserve"> </w:t>
      </w:r>
      <w:r w:rsidR="00D31402">
        <w:rPr>
          <w:szCs w:val="24"/>
        </w:rPr>
        <w:t>C</w:t>
      </w:r>
      <w:r w:rsidR="001D647C" w:rsidRPr="001D647C">
        <w:rPr>
          <w:szCs w:val="24"/>
        </w:rPr>
        <w:t>onversion of PRAC assistance to PBRA assistance under this Notice</w:t>
      </w:r>
      <w:r w:rsidR="00D31402">
        <w:rPr>
          <w:szCs w:val="24"/>
        </w:rPr>
        <w:t>, and execution of a PBRA contract as a result of the conversion,</w:t>
      </w:r>
      <w:r w:rsidR="001D647C" w:rsidRPr="001D647C">
        <w:rPr>
          <w:szCs w:val="24"/>
        </w:rPr>
        <w:t xml:space="preserve"> does not trigger Davis-Bacon</w:t>
      </w:r>
      <w:r w:rsidR="00D31402">
        <w:rPr>
          <w:szCs w:val="24"/>
        </w:rPr>
        <w:t xml:space="preserve"> prevailing wage requirements</w:t>
      </w:r>
      <w:r w:rsidR="001D647C" w:rsidRPr="001D647C">
        <w:rPr>
          <w:szCs w:val="24"/>
        </w:rPr>
        <w:t xml:space="preserve">.  For PBV Projects with 9 or more assisted units where rehabilitation or construction will occur, Davis-Bacon will apply. For information addressing Davis-Bacon and RAD Second Component existing housing transactions, please see the Federal Register Notice entitled ‘Applicability of Davis-Bacon Labor Requirements to Projects Selected as Existing Housing Under the Section 8 Project-Based Voucher Program – Guidance,’ 80 FR 12511, March 9, 2015. </w:t>
      </w:r>
      <w:bookmarkStart w:id="146" w:name="_Toc328584381"/>
      <w:bookmarkStart w:id="147" w:name="_Toc328584523"/>
      <w:bookmarkStart w:id="148" w:name="_Toc328591561"/>
      <w:bookmarkStart w:id="149" w:name="_Toc328759053"/>
      <w:bookmarkStart w:id="150" w:name="_Toc328759248"/>
      <w:bookmarkStart w:id="151" w:name="_Toc328759443"/>
      <w:bookmarkStart w:id="152" w:name="_Toc328759638"/>
      <w:bookmarkStart w:id="153" w:name="_Toc328759833"/>
      <w:bookmarkStart w:id="154" w:name="_Toc328760029"/>
      <w:bookmarkStart w:id="155" w:name="_Toc328781970"/>
      <w:bookmarkStart w:id="156" w:name="_Toc328782168"/>
      <w:bookmarkStart w:id="157" w:name="_Toc328782365"/>
      <w:bookmarkStart w:id="158" w:name="_Toc328996148"/>
      <w:bookmarkStart w:id="159" w:name="_Toc329003881"/>
      <w:bookmarkStart w:id="160" w:name="_Toc328584382"/>
      <w:bookmarkStart w:id="161" w:name="_Toc328584524"/>
      <w:bookmarkStart w:id="162" w:name="_Toc328591562"/>
      <w:bookmarkStart w:id="163" w:name="_Toc328759054"/>
      <w:bookmarkStart w:id="164" w:name="_Toc328759249"/>
      <w:bookmarkStart w:id="165" w:name="_Toc328759444"/>
      <w:bookmarkStart w:id="166" w:name="_Toc328759639"/>
      <w:bookmarkStart w:id="167" w:name="_Toc328759834"/>
      <w:bookmarkStart w:id="168" w:name="_Toc328760030"/>
      <w:bookmarkStart w:id="169" w:name="_Toc328781971"/>
      <w:bookmarkStart w:id="170" w:name="_Toc328782169"/>
      <w:bookmarkStart w:id="171" w:name="_Toc328782366"/>
      <w:bookmarkStart w:id="172" w:name="_Toc328996149"/>
      <w:bookmarkStart w:id="173" w:name="_Toc329003882"/>
      <w:bookmarkStart w:id="174" w:name="_Toc328584383"/>
      <w:bookmarkStart w:id="175" w:name="_Toc328584525"/>
      <w:bookmarkStart w:id="176" w:name="_Toc328591563"/>
      <w:bookmarkStart w:id="177" w:name="_Toc328759055"/>
      <w:bookmarkStart w:id="178" w:name="_Toc328759250"/>
      <w:bookmarkStart w:id="179" w:name="_Toc328759445"/>
      <w:bookmarkStart w:id="180" w:name="_Toc328759640"/>
      <w:bookmarkStart w:id="181" w:name="_Toc328759835"/>
      <w:bookmarkStart w:id="182" w:name="_Toc328760031"/>
      <w:bookmarkStart w:id="183" w:name="_Toc328781972"/>
      <w:bookmarkStart w:id="184" w:name="_Toc328782170"/>
      <w:bookmarkStart w:id="185" w:name="_Toc328782367"/>
      <w:bookmarkStart w:id="186" w:name="_Toc328996150"/>
      <w:bookmarkStart w:id="187" w:name="_Toc329003883"/>
      <w:bookmarkEnd w:id="144"/>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6865EEF5" w14:textId="77777777" w:rsidR="006B675C" w:rsidRDefault="006B675C" w:rsidP="006B675C">
      <w:pPr>
        <w:spacing w:after="12"/>
        <w:ind w:left="360"/>
        <w:contextualSpacing/>
        <w:rPr>
          <w:szCs w:val="24"/>
        </w:rPr>
      </w:pPr>
    </w:p>
    <w:p w14:paraId="63C8D73E" w14:textId="718675D3" w:rsidR="00E67025" w:rsidRDefault="006B675C" w:rsidP="00794828">
      <w:pPr>
        <w:numPr>
          <w:ilvl w:val="0"/>
          <w:numId w:val="17"/>
        </w:numPr>
        <w:spacing w:after="12"/>
        <w:ind w:left="360"/>
        <w:contextualSpacing/>
        <w:rPr>
          <w:szCs w:val="24"/>
        </w:rPr>
      </w:pPr>
      <w:r w:rsidRPr="006B675C">
        <w:rPr>
          <w:b/>
          <w:szCs w:val="24"/>
        </w:rPr>
        <w:t>Provision of Services.</w:t>
      </w:r>
      <w:r w:rsidRPr="006B675C">
        <w:rPr>
          <w:szCs w:val="24"/>
        </w:rPr>
        <w:t xml:space="preserve"> For properties that have submitted an Initial Submission of Interest to HUD, HUD may approve service costs to be paid from project rental assistance up to $27 per unit per month if it is necessary to provide effective supportive services for the elderly. Accordingly, HUD is waiving and providing an alternative requirement to 24 </w:t>
      </w:r>
      <w:r w:rsidR="006357BB">
        <w:rPr>
          <w:szCs w:val="24"/>
        </w:rPr>
        <w:t xml:space="preserve">§ </w:t>
      </w:r>
      <w:r w:rsidRPr="006B675C">
        <w:rPr>
          <w:szCs w:val="24"/>
        </w:rPr>
        <w:t>CFR 891.225, which limits the eligible service costs that can be paid from project rental assistance to $15 per unit per month. Any approval would only become effective following Conversion Plan Approval and would be rescinded if the conversion does not occur.</w:t>
      </w:r>
    </w:p>
    <w:p w14:paraId="26C5A640" w14:textId="77777777" w:rsidR="004A575F" w:rsidRDefault="004A575F" w:rsidP="00531525">
      <w:pPr>
        <w:pStyle w:val="ListParagraph"/>
        <w:rPr>
          <w:szCs w:val="24"/>
        </w:rPr>
      </w:pPr>
    </w:p>
    <w:p w14:paraId="32F97336" w14:textId="7FB5D006" w:rsidR="004A575F" w:rsidRDefault="004A575F" w:rsidP="00794828">
      <w:pPr>
        <w:numPr>
          <w:ilvl w:val="0"/>
          <w:numId w:val="17"/>
        </w:numPr>
        <w:spacing w:after="12"/>
        <w:ind w:left="360"/>
        <w:contextualSpacing/>
        <w:rPr>
          <w:szCs w:val="24"/>
        </w:rPr>
      </w:pPr>
      <w:r w:rsidRPr="00531525">
        <w:rPr>
          <w:b/>
          <w:szCs w:val="24"/>
        </w:rPr>
        <w:t>Existing Residual Receipts Balance.</w:t>
      </w:r>
      <w:r>
        <w:rPr>
          <w:szCs w:val="24"/>
        </w:rPr>
        <w:t xml:space="preserve"> </w:t>
      </w:r>
      <w:r w:rsidR="000078CE">
        <w:rPr>
          <w:szCs w:val="24"/>
        </w:rPr>
        <w:t>Project Owner</w:t>
      </w:r>
      <w:r>
        <w:rPr>
          <w:szCs w:val="24"/>
        </w:rPr>
        <w:t xml:space="preserve">s may apply any balance in the Converting Project’s residual receipts </w:t>
      </w:r>
      <w:r w:rsidRPr="004A575F">
        <w:rPr>
          <w:szCs w:val="24"/>
        </w:rPr>
        <w:t>as a source in the development budget to support conversion</w:t>
      </w:r>
      <w:r>
        <w:rPr>
          <w:szCs w:val="24"/>
        </w:rPr>
        <w:t xml:space="preserve">. </w:t>
      </w:r>
      <w:r w:rsidRPr="004A575F">
        <w:rPr>
          <w:szCs w:val="24"/>
        </w:rPr>
        <w:t>Eligible conversion-related uses for these funds include pre-development, development, or rehabilitation costs of the Covered Project,</w:t>
      </w:r>
      <w:r>
        <w:rPr>
          <w:szCs w:val="24"/>
        </w:rPr>
        <w:t xml:space="preserve"> or</w:t>
      </w:r>
      <w:r w:rsidRPr="004A575F">
        <w:rPr>
          <w:szCs w:val="24"/>
        </w:rPr>
        <w:t xml:space="preserve"> establishment of </w:t>
      </w:r>
      <w:r w:rsidR="00136FCC">
        <w:rPr>
          <w:szCs w:val="24"/>
        </w:rPr>
        <w:t>the</w:t>
      </w:r>
      <w:r w:rsidRPr="004A575F">
        <w:rPr>
          <w:szCs w:val="24"/>
        </w:rPr>
        <w:t xml:space="preserve"> replacement reserve or operating reserve</w:t>
      </w:r>
      <w:r>
        <w:rPr>
          <w:szCs w:val="24"/>
        </w:rPr>
        <w:t>.</w:t>
      </w:r>
    </w:p>
    <w:p w14:paraId="4670675C" w14:textId="77777777" w:rsidR="00E67025" w:rsidRDefault="00E67025" w:rsidP="00531525">
      <w:pPr>
        <w:pStyle w:val="ListParagraph"/>
        <w:rPr>
          <w:rFonts w:eastAsia="MS Mincho"/>
          <w:szCs w:val="24"/>
        </w:rPr>
      </w:pPr>
    </w:p>
    <w:p w14:paraId="3D79BDEB" w14:textId="78332675" w:rsidR="00E67025" w:rsidRPr="004A575F" w:rsidRDefault="004A575F" w:rsidP="00794828">
      <w:pPr>
        <w:numPr>
          <w:ilvl w:val="0"/>
          <w:numId w:val="17"/>
        </w:numPr>
        <w:spacing w:after="12"/>
        <w:ind w:left="360"/>
        <w:contextualSpacing/>
        <w:rPr>
          <w:szCs w:val="24"/>
        </w:rPr>
      </w:pPr>
      <w:r w:rsidRPr="00531525">
        <w:rPr>
          <w:rFonts w:eastAsia="MS Mincho"/>
          <w:b/>
          <w:szCs w:val="24"/>
        </w:rPr>
        <w:t>Lead Based Paint Hazards.</w:t>
      </w:r>
      <w:r>
        <w:rPr>
          <w:rFonts w:eastAsia="MS Mincho"/>
          <w:szCs w:val="24"/>
        </w:rPr>
        <w:t xml:space="preserve"> </w:t>
      </w:r>
      <w:r w:rsidR="00E67025" w:rsidRPr="00531525">
        <w:rPr>
          <w:rFonts w:eastAsia="MS Mincho"/>
          <w:szCs w:val="24"/>
        </w:rPr>
        <w:t xml:space="preserve">For properties built before 1978 </w:t>
      </w:r>
      <w:r w:rsidR="009319CB">
        <w:rPr>
          <w:rFonts w:eastAsia="MS Mincho"/>
          <w:szCs w:val="24"/>
        </w:rPr>
        <w:t xml:space="preserve">and </w:t>
      </w:r>
      <w:r w:rsidR="00E67025" w:rsidRPr="00531525">
        <w:rPr>
          <w:rFonts w:eastAsia="MS Mincho"/>
          <w:szCs w:val="24"/>
        </w:rPr>
        <w:t>in the infrequent case that a child under age 6 resides</w:t>
      </w:r>
      <w:r w:rsidR="009319CB" w:rsidRPr="00531525">
        <w:rPr>
          <w:rFonts w:eastAsia="MS Mincho"/>
          <w:szCs w:val="24"/>
        </w:rPr>
        <w:t xml:space="preserve"> in one or more units</w:t>
      </w:r>
      <w:r w:rsidR="00E67025" w:rsidRPr="00531525">
        <w:rPr>
          <w:rFonts w:eastAsia="MS Mincho"/>
          <w:szCs w:val="24"/>
        </w:rPr>
        <w:t xml:space="preserve">: </w:t>
      </w:r>
    </w:p>
    <w:p w14:paraId="0277BD83" w14:textId="37E2FBF1" w:rsidR="00E67025" w:rsidRDefault="00E67025" w:rsidP="00794828">
      <w:pPr>
        <w:pStyle w:val="ListParagraph"/>
        <w:numPr>
          <w:ilvl w:val="0"/>
          <w:numId w:val="25"/>
        </w:numPr>
        <w:spacing w:after="12"/>
        <w:rPr>
          <w:rFonts w:eastAsia="MS Mincho"/>
          <w:sz w:val="24"/>
          <w:szCs w:val="24"/>
        </w:rPr>
      </w:pPr>
      <w:r>
        <w:rPr>
          <w:rFonts w:eastAsia="MS Mincho"/>
          <w:sz w:val="24"/>
          <w:szCs w:val="24"/>
        </w:rPr>
        <w:t>T</w:t>
      </w:r>
      <w:r w:rsidRPr="00EF309B">
        <w:rPr>
          <w:rFonts w:eastAsia="MS Mincho"/>
          <w:sz w:val="24"/>
          <w:szCs w:val="24"/>
        </w:rPr>
        <w:t>he Lead Disclosure Rule and the Lead Safe Housing Rule (specifically, 24 CFR part 35, subparts A, B, H, and R) apply to</w:t>
      </w:r>
      <w:r>
        <w:rPr>
          <w:rFonts w:eastAsia="MS Mincho"/>
          <w:sz w:val="24"/>
          <w:szCs w:val="24"/>
        </w:rPr>
        <w:t xml:space="preserve"> each such </w:t>
      </w:r>
      <w:r w:rsidRPr="006047DB">
        <w:rPr>
          <w:rFonts w:eastAsia="MS Mincho"/>
          <w:sz w:val="24"/>
          <w:szCs w:val="24"/>
        </w:rPr>
        <w:t>unit, any common areas servicing such unit</w:t>
      </w:r>
      <w:r>
        <w:rPr>
          <w:rFonts w:eastAsia="MS Mincho"/>
          <w:sz w:val="24"/>
          <w:szCs w:val="24"/>
        </w:rPr>
        <w:t>s</w:t>
      </w:r>
      <w:r w:rsidRPr="006047DB">
        <w:rPr>
          <w:rFonts w:eastAsia="MS Mincho"/>
          <w:sz w:val="24"/>
          <w:szCs w:val="24"/>
        </w:rPr>
        <w:t>, and exterior painted surfaces associated with such unit</w:t>
      </w:r>
      <w:r>
        <w:rPr>
          <w:rFonts w:eastAsia="MS Mincho"/>
          <w:sz w:val="24"/>
          <w:szCs w:val="24"/>
        </w:rPr>
        <w:t>s</w:t>
      </w:r>
      <w:r w:rsidRPr="006047DB">
        <w:rPr>
          <w:rFonts w:eastAsia="MS Mincho"/>
          <w:sz w:val="24"/>
          <w:szCs w:val="24"/>
        </w:rPr>
        <w:t xml:space="preserve"> or common areas</w:t>
      </w:r>
      <w:r w:rsidR="0043258D">
        <w:rPr>
          <w:rFonts w:eastAsia="MS Mincho"/>
          <w:sz w:val="24"/>
          <w:szCs w:val="24"/>
        </w:rPr>
        <w:t xml:space="preserve">. </w:t>
      </w:r>
      <w:r>
        <w:rPr>
          <w:rFonts w:eastAsia="MS Mincho"/>
          <w:sz w:val="24"/>
          <w:szCs w:val="24"/>
        </w:rPr>
        <w:t>(</w:t>
      </w:r>
      <w:r w:rsidRPr="00EF309B">
        <w:rPr>
          <w:rFonts w:eastAsia="MS Mincho"/>
          <w:sz w:val="24"/>
          <w:szCs w:val="24"/>
        </w:rPr>
        <w:t>The</w:t>
      </w:r>
      <w:r>
        <w:rPr>
          <w:rFonts w:eastAsia="MS Mincho"/>
          <w:sz w:val="24"/>
          <w:szCs w:val="24"/>
        </w:rPr>
        <w:t xml:space="preserve">se covered areas </w:t>
      </w:r>
      <w:r w:rsidRPr="00EF309B">
        <w:rPr>
          <w:rFonts w:eastAsia="MS Mincho"/>
          <w:sz w:val="24"/>
          <w:szCs w:val="24"/>
        </w:rPr>
        <w:t>must have a risk assessment conducted and any lead-based paint hazards identified controlled and cleared</w:t>
      </w:r>
      <w:r>
        <w:rPr>
          <w:rFonts w:eastAsia="MS Mincho"/>
          <w:sz w:val="24"/>
          <w:szCs w:val="24"/>
        </w:rPr>
        <w:t>, with affected tenants getting disclosure and/or notification of these activities, as applicable</w:t>
      </w:r>
      <w:r w:rsidRPr="00EF309B">
        <w:rPr>
          <w:rFonts w:eastAsia="MS Mincho"/>
          <w:sz w:val="24"/>
          <w:szCs w:val="24"/>
        </w:rPr>
        <w:t>; see also the MAP Guide section 9.5.A, Lead-Based Paint.</w:t>
      </w:r>
      <w:r>
        <w:rPr>
          <w:rFonts w:eastAsia="MS Mincho"/>
          <w:sz w:val="24"/>
          <w:szCs w:val="24"/>
        </w:rPr>
        <w:t>)</w:t>
      </w:r>
    </w:p>
    <w:p w14:paraId="46ADF599" w14:textId="331C1D25" w:rsidR="00E67025" w:rsidRDefault="00E67025" w:rsidP="00794828">
      <w:pPr>
        <w:pStyle w:val="ListParagraph"/>
        <w:numPr>
          <w:ilvl w:val="0"/>
          <w:numId w:val="25"/>
        </w:numPr>
        <w:spacing w:after="12"/>
        <w:rPr>
          <w:rFonts w:eastAsia="MS Mincho"/>
          <w:sz w:val="24"/>
          <w:szCs w:val="24"/>
        </w:rPr>
      </w:pPr>
      <w:r>
        <w:rPr>
          <w:rFonts w:eastAsia="MS Mincho"/>
          <w:sz w:val="24"/>
          <w:szCs w:val="24"/>
        </w:rPr>
        <w:t xml:space="preserve">If </w:t>
      </w:r>
      <w:r w:rsidRPr="001865D3">
        <w:rPr>
          <w:rFonts w:eastAsia="MS Mincho"/>
          <w:sz w:val="24"/>
          <w:szCs w:val="24"/>
        </w:rPr>
        <w:t>occupancy rule exceptions are made to allow children under age 6 to reside (such as in accordance with the Living Equitably: Grandparents Aiding Children and Youth Act of 2003, P.L. 108-186)</w:t>
      </w:r>
      <w:r>
        <w:rPr>
          <w:rFonts w:eastAsia="MS Mincho"/>
          <w:sz w:val="24"/>
          <w:szCs w:val="24"/>
        </w:rPr>
        <w:t>,</w:t>
      </w:r>
      <w:r w:rsidRPr="001865D3">
        <w:rPr>
          <w:rFonts w:eastAsia="MS Mincho"/>
          <w:sz w:val="24"/>
          <w:szCs w:val="24"/>
        </w:rPr>
        <w:t xml:space="preserve"> the</w:t>
      </w:r>
      <w:r>
        <w:rPr>
          <w:rFonts w:eastAsia="MS Mincho"/>
          <w:sz w:val="24"/>
          <w:szCs w:val="24"/>
        </w:rPr>
        <w:t xml:space="preserve"> general</w:t>
      </w:r>
      <w:r w:rsidRPr="001865D3">
        <w:rPr>
          <w:rFonts w:eastAsia="MS Mincho"/>
          <w:sz w:val="24"/>
          <w:szCs w:val="24"/>
        </w:rPr>
        <w:t xml:space="preserve"> exemption of the property from the </w:t>
      </w:r>
      <w:r>
        <w:rPr>
          <w:rFonts w:eastAsia="MS Mincho"/>
          <w:sz w:val="24"/>
          <w:szCs w:val="24"/>
        </w:rPr>
        <w:t>lead safety r</w:t>
      </w:r>
      <w:r w:rsidRPr="001865D3">
        <w:rPr>
          <w:rFonts w:eastAsia="MS Mincho"/>
          <w:sz w:val="24"/>
          <w:szCs w:val="24"/>
        </w:rPr>
        <w:t>ule</w:t>
      </w:r>
      <w:r>
        <w:rPr>
          <w:rFonts w:eastAsia="MS Mincho"/>
          <w:sz w:val="24"/>
          <w:szCs w:val="24"/>
        </w:rPr>
        <w:t>s</w:t>
      </w:r>
      <w:r w:rsidRPr="001865D3">
        <w:rPr>
          <w:rFonts w:eastAsia="MS Mincho"/>
          <w:sz w:val="24"/>
          <w:szCs w:val="24"/>
        </w:rPr>
        <w:t xml:space="preserve"> is not available and </w:t>
      </w:r>
      <w:r>
        <w:rPr>
          <w:rFonts w:eastAsia="MS Mincho"/>
          <w:sz w:val="24"/>
          <w:szCs w:val="24"/>
        </w:rPr>
        <w:t xml:space="preserve">they </w:t>
      </w:r>
      <w:r w:rsidRPr="001865D3">
        <w:rPr>
          <w:rFonts w:eastAsia="MS Mincho"/>
          <w:sz w:val="24"/>
          <w:szCs w:val="24"/>
        </w:rPr>
        <w:t>apply to the entire propert</w:t>
      </w:r>
      <w:r>
        <w:rPr>
          <w:rFonts w:eastAsia="MS Mincho"/>
          <w:sz w:val="24"/>
          <w:szCs w:val="24"/>
        </w:rPr>
        <w:t>y.</w:t>
      </w:r>
    </w:p>
    <w:p w14:paraId="1FB66593" w14:textId="77777777" w:rsidR="00E67025" w:rsidRPr="00AE31B1" w:rsidRDefault="00E67025" w:rsidP="00531525">
      <w:pPr>
        <w:spacing w:after="12"/>
        <w:ind w:left="360"/>
        <w:contextualSpacing/>
        <w:rPr>
          <w:szCs w:val="24"/>
        </w:rPr>
      </w:pPr>
    </w:p>
    <w:bookmarkEnd w:id="145"/>
    <w:p w14:paraId="7F57C4D4" w14:textId="77777777" w:rsidR="00E60208" w:rsidRPr="00E60208" w:rsidRDefault="00E60208" w:rsidP="00E60208">
      <w:pPr>
        <w:pStyle w:val="ListParagraph"/>
        <w:spacing w:after="12"/>
        <w:rPr>
          <w:szCs w:val="24"/>
        </w:rPr>
      </w:pPr>
    </w:p>
    <w:p w14:paraId="7F57C4D5" w14:textId="77777777" w:rsidR="00A14DCD" w:rsidRPr="00077064" w:rsidRDefault="00A14DCD" w:rsidP="00A14DCD">
      <w:pPr>
        <w:spacing w:after="12"/>
        <w:rPr>
          <w:szCs w:val="24"/>
        </w:rPr>
      </w:pPr>
    </w:p>
    <w:p w14:paraId="7F57C4D6" w14:textId="2BAA9D4A" w:rsidR="00A14DCD" w:rsidRDefault="00A14DCD" w:rsidP="00794828">
      <w:pPr>
        <w:pStyle w:val="ListParagraph"/>
        <w:keepNext/>
        <w:keepLines/>
        <w:numPr>
          <w:ilvl w:val="1"/>
          <w:numId w:val="21"/>
        </w:numPr>
        <w:spacing w:after="12"/>
        <w:outlineLvl w:val="1"/>
        <w:rPr>
          <w:rFonts w:eastAsia="Times New Roman"/>
          <w:b/>
          <w:bCs/>
          <w:sz w:val="24"/>
          <w:szCs w:val="24"/>
          <w:u w:val="single"/>
        </w:rPr>
      </w:pPr>
      <w:bookmarkStart w:id="188" w:name="_Toc314142420"/>
      <w:bookmarkStart w:id="189" w:name="_Toc358367388"/>
      <w:bookmarkStart w:id="190" w:name="_Toc353369289"/>
      <w:bookmarkStart w:id="191" w:name="_Toc416357159"/>
      <w:bookmarkStart w:id="192" w:name="_Toc416419315"/>
      <w:bookmarkStart w:id="193" w:name="_Toc421888922"/>
      <w:r w:rsidRPr="005F70FB">
        <w:rPr>
          <w:rFonts w:eastAsia="Times New Roman"/>
          <w:b/>
          <w:bCs/>
          <w:sz w:val="24"/>
          <w:szCs w:val="24"/>
          <w:u w:val="single"/>
        </w:rPr>
        <w:t>Special Provisions Affecting Conversions to PBVs</w:t>
      </w:r>
      <w:bookmarkEnd w:id="188"/>
      <w:bookmarkEnd w:id="189"/>
      <w:bookmarkEnd w:id="190"/>
      <w:bookmarkEnd w:id="191"/>
      <w:bookmarkEnd w:id="192"/>
      <w:bookmarkEnd w:id="193"/>
    </w:p>
    <w:p w14:paraId="4B60FB12" w14:textId="77777777" w:rsidR="00AE4AF6" w:rsidRPr="005F70FB" w:rsidRDefault="00AE4AF6" w:rsidP="00AE4AF6">
      <w:pPr>
        <w:pStyle w:val="ListParagraph"/>
        <w:keepNext/>
        <w:keepLines/>
        <w:spacing w:after="12"/>
        <w:ind w:left="1710"/>
        <w:outlineLvl w:val="1"/>
        <w:rPr>
          <w:rFonts w:eastAsia="Times New Roman"/>
          <w:b/>
          <w:bCs/>
          <w:sz w:val="24"/>
          <w:szCs w:val="24"/>
          <w:u w:val="single"/>
        </w:rPr>
      </w:pPr>
    </w:p>
    <w:p w14:paraId="7F57C4D7" w14:textId="5D38331F" w:rsidR="00A14DCD" w:rsidRPr="00077064" w:rsidRDefault="00A14DCD" w:rsidP="00A14DCD">
      <w:pPr>
        <w:spacing w:after="12"/>
        <w:rPr>
          <w:szCs w:val="24"/>
        </w:rPr>
      </w:pPr>
      <w:r w:rsidRPr="00077064">
        <w:rPr>
          <w:szCs w:val="24"/>
        </w:rPr>
        <w:t>Certain PBV statutory provisions have been waived or altered consistent with the authority Congress has provided for Second Component conversions. In these cases, HUD also notes the corresponding regulatory provisions that are waived or altered. Additionally, HUD has waived certain regulatory provisions (that are not statutorily based) and established alternative requirements in order to prevent displacement of certain residents and otherwise serve the purposes of this Demonstration. All other regulatory and statutory requirements of the PBV program in 24 CFR</w:t>
      </w:r>
      <w:r w:rsidRPr="00077064">
        <w:rPr>
          <w:b/>
          <w:szCs w:val="24"/>
        </w:rPr>
        <w:t xml:space="preserve"> </w:t>
      </w:r>
      <w:r w:rsidR="00161B05">
        <w:rPr>
          <w:szCs w:val="24"/>
        </w:rPr>
        <w:t>p</w:t>
      </w:r>
      <w:r w:rsidRPr="00077064">
        <w:rPr>
          <w:szCs w:val="24"/>
        </w:rPr>
        <w:t xml:space="preserve">art 983 and section 8(o)(13) of the Act </w:t>
      </w:r>
      <w:r w:rsidR="00753137" w:rsidRPr="00077064">
        <w:rPr>
          <w:szCs w:val="24"/>
        </w:rPr>
        <w:t xml:space="preserve">and applicable standing and subsequent Office of Public and Indian Housing guidance, including related </w:t>
      </w:r>
      <w:r w:rsidR="00753137">
        <w:rPr>
          <w:szCs w:val="24"/>
        </w:rPr>
        <w:t xml:space="preserve">notices and </w:t>
      </w:r>
      <w:r w:rsidR="00753137" w:rsidRPr="00077064">
        <w:rPr>
          <w:szCs w:val="24"/>
        </w:rPr>
        <w:t>handbooks shall apply</w:t>
      </w:r>
      <w:r w:rsidRPr="00077064">
        <w:rPr>
          <w:szCs w:val="24"/>
        </w:rPr>
        <w:t xml:space="preserve">, including resident choice, environmental review, and </w:t>
      </w:r>
      <w:r w:rsidR="00161B05">
        <w:rPr>
          <w:szCs w:val="24"/>
        </w:rPr>
        <w:t>non</w:t>
      </w:r>
      <w:r w:rsidR="00D85931">
        <w:rPr>
          <w:szCs w:val="24"/>
        </w:rPr>
        <w:t>-</w:t>
      </w:r>
      <w:r w:rsidR="00161B05">
        <w:rPr>
          <w:szCs w:val="24"/>
        </w:rPr>
        <w:t>discrimination and equal opportunity</w:t>
      </w:r>
      <w:r w:rsidRPr="00077064">
        <w:rPr>
          <w:szCs w:val="24"/>
        </w:rPr>
        <w:t xml:space="preserve"> requirements.</w:t>
      </w:r>
    </w:p>
    <w:p w14:paraId="7F57C4D8" w14:textId="77777777" w:rsidR="00A14DCD" w:rsidRPr="00077064" w:rsidRDefault="00A14DCD" w:rsidP="00A14DCD">
      <w:pPr>
        <w:spacing w:after="12"/>
        <w:rPr>
          <w:szCs w:val="24"/>
        </w:rPr>
      </w:pPr>
    </w:p>
    <w:p w14:paraId="7F57C4D9" w14:textId="2F9E2927" w:rsidR="00A14DCD" w:rsidRPr="00077064" w:rsidRDefault="00A14DCD" w:rsidP="00A14DCD">
      <w:pPr>
        <w:spacing w:after="12"/>
        <w:rPr>
          <w:rFonts w:eastAsia="Times New Roman"/>
          <w:szCs w:val="24"/>
        </w:rPr>
      </w:pPr>
      <w:r w:rsidRPr="00077064">
        <w:rPr>
          <w:rFonts w:eastAsia="Times New Roman"/>
          <w:szCs w:val="24"/>
        </w:rPr>
        <w:t xml:space="preserve">The modified or alternative requirements that pertain solely to </w:t>
      </w:r>
      <w:r w:rsidR="00D85931">
        <w:rPr>
          <w:rFonts w:eastAsia="Times New Roman"/>
          <w:szCs w:val="24"/>
        </w:rPr>
        <w:t>202 PRAC</w:t>
      </w:r>
      <w:r w:rsidR="00D85931" w:rsidRPr="00077064">
        <w:rPr>
          <w:rFonts w:eastAsia="Times New Roman"/>
          <w:szCs w:val="24"/>
        </w:rPr>
        <w:t xml:space="preserve"> </w:t>
      </w:r>
      <w:r w:rsidR="00D85931">
        <w:rPr>
          <w:rFonts w:eastAsia="Times New Roman"/>
          <w:szCs w:val="24"/>
        </w:rPr>
        <w:t>P</w:t>
      </w:r>
      <w:r w:rsidR="00D85931" w:rsidRPr="00077064">
        <w:rPr>
          <w:rFonts w:eastAsia="Times New Roman"/>
          <w:szCs w:val="24"/>
        </w:rPr>
        <w:t xml:space="preserve">rojects converting assistance to </w:t>
      </w:r>
      <w:r w:rsidRPr="00077064">
        <w:rPr>
          <w:rFonts w:eastAsia="Times New Roman"/>
          <w:szCs w:val="24"/>
        </w:rPr>
        <w:t>PBV under the Demonstration are described below.</w:t>
      </w:r>
    </w:p>
    <w:p w14:paraId="7F57C4DA" w14:textId="77777777" w:rsidR="00A14DCD" w:rsidRPr="00077064" w:rsidRDefault="00A14DCD" w:rsidP="00A14DCD">
      <w:pPr>
        <w:spacing w:after="12"/>
        <w:rPr>
          <w:rFonts w:eastAsia="Times New Roman"/>
          <w:szCs w:val="24"/>
        </w:rPr>
      </w:pPr>
    </w:p>
    <w:p w14:paraId="7F57C4DB" w14:textId="628CBD8D" w:rsidR="00A14DCD" w:rsidRDefault="00A14DCD" w:rsidP="00794828">
      <w:pPr>
        <w:numPr>
          <w:ilvl w:val="0"/>
          <w:numId w:val="15"/>
        </w:numPr>
        <w:spacing w:after="12"/>
        <w:ind w:left="360"/>
        <w:contextualSpacing/>
        <w:rPr>
          <w:szCs w:val="24"/>
        </w:rPr>
      </w:pPr>
      <w:r w:rsidRPr="00077064">
        <w:rPr>
          <w:b/>
          <w:szCs w:val="24"/>
        </w:rPr>
        <w:t>Length of Contract.</w:t>
      </w:r>
      <w:r w:rsidRPr="00077064">
        <w:rPr>
          <w:szCs w:val="24"/>
        </w:rPr>
        <w:t xml:space="preserve"> </w:t>
      </w:r>
      <w:r w:rsidR="00627664">
        <w:rPr>
          <w:szCs w:val="24"/>
        </w:rPr>
        <w:t xml:space="preserve">Section 8(o)(13)(F) of the Act provides, in part, that the </w:t>
      </w:r>
      <w:r w:rsidR="00D85931">
        <w:rPr>
          <w:szCs w:val="24"/>
        </w:rPr>
        <w:t>HAP Contract</w:t>
      </w:r>
      <w:r w:rsidR="00627664">
        <w:rPr>
          <w:szCs w:val="24"/>
        </w:rPr>
        <w:t xml:space="preserve"> may have an initial term of up to 20 years. In addition, </w:t>
      </w:r>
      <w:r w:rsidR="00627664" w:rsidRPr="00941C48">
        <w:rPr>
          <w:szCs w:val="24"/>
        </w:rPr>
        <w:t xml:space="preserve">24 CFR </w:t>
      </w:r>
      <w:bookmarkStart w:id="194" w:name="_Hlk526349648"/>
      <w:r w:rsidR="00627664" w:rsidRPr="00941C48">
        <w:rPr>
          <w:szCs w:val="24"/>
        </w:rPr>
        <w:t xml:space="preserve">§ 983.205(a) </w:t>
      </w:r>
      <w:bookmarkEnd w:id="194"/>
      <w:r w:rsidR="00627664" w:rsidRPr="00941C48">
        <w:rPr>
          <w:szCs w:val="24"/>
        </w:rPr>
        <w:t xml:space="preserve">provides the PHA </w:t>
      </w:r>
      <w:r w:rsidR="00627664">
        <w:rPr>
          <w:szCs w:val="24"/>
        </w:rPr>
        <w:t xml:space="preserve">with </w:t>
      </w:r>
      <w:r w:rsidR="00627664" w:rsidRPr="00941C48">
        <w:rPr>
          <w:szCs w:val="24"/>
        </w:rPr>
        <w:t xml:space="preserve">discretion </w:t>
      </w:r>
      <w:r w:rsidR="00627664">
        <w:rPr>
          <w:szCs w:val="24"/>
        </w:rPr>
        <w:t>to set the contract term, for a minimum period of one year and a maximum period of twenty years</w:t>
      </w:r>
      <w:r w:rsidR="0043258D">
        <w:rPr>
          <w:szCs w:val="24"/>
        </w:rPr>
        <w:t xml:space="preserve">. </w:t>
      </w:r>
      <w:r w:rsidR="00627664">
        <w:rPr>
          <w:szCs w:val="24"/>
        </w:rPr>
        <w:t xml:space="preserve">By choosing to participate in RAD, the PHA and the </w:t>
      </w:r>
      <w:r w:rsidR="000078CE">
        <w:rPr>
          <w:szCs w:val="24"/>
        </w:rPr>
        <w:t>Project Owner</w:t>
      </w:r>
      <w:r w:rsidR="00627664">
        <w:rPr>
          <w:szCs w:val="24"/>
        </w:rPr>
        <w:t xml:space="preserve"> agree to an initial </w:t>
      </w:r>
      <w:r w:rsidR="00D85931">
        <w:rPr>
          <w:szCs w:val="24"/>
        </w:rPr>
        <w:t>HAP Contract</w:t>
      </w:r>
      <w:r w:rsidR="00627664">
        <w:rPr>
          <w:szCs w:val="24"/>
        </w:rPr>
        <w:t xml:space="preserve"> term of 20 years. A PHA may enter into an extension of the initial </w:t>
      </w:r>
      <w:r w:rsidR="00D85931">
        <w:rPr>
          <w:szCs w:val="24"/>
        </w:rPr>
        <w:t>HAP Contract</w:t>
      </w:r>
      <w:r w:rsidR="00627664">
        <w:rPr>
          <w:szCs w:val="24"/>
        </w:rPr>
        <w:t xml:space="preserve"> term with the </w:t>
      </w:r>
      <w:r w:rsidR="000078CE">
        <w:rPr>
          <w:szCs w:val="24"/>
        </w:rPr>
        <w:t>Project Owner</w:t>
      </w:r>
      <w:r w:rsidR="00627664">
        <w:rPr>
          <w:szCs w:val="24"/>
        </w:rPr>
        <w:t xml:space="preserve"> at any time during the initial term. </w:t>
      </w:r>
      <w:bookmarkStart w:id="195" w:name="_Hlk526350647"/>
      <w:r w:rsidR="00627664">
        <w:rPr>
          <w:szCs w:val="24"/>
        </w:rPr>
        <w:t xml:space="preserve">The PBV </w:t>
      </w:r>
      <w:r w:rsidR="00D85931">
        <w:rPr>
          <w:szCs w:val="24"/>
        </w:rPr>
        <w:t>HAP Contract</w:t>
      </w:r>
      <w:r w:rsidR="00627664">
        <w:rPr>
          <w:szCs w:val="24"/>
        </w:rPr>
        <w:t xml:space="preserve"> during the initial and any extended term is subject to the requirement for sufficient annual appropriated funding</w:t>
      </w:r>
      <w:bookmarkEnd w:id="195"/>
      <w:r w:rsidR="0043258D">
        <w:rPr>
          <w:szCs w:val="24"/>
        </w:rPr>
        <w:t xml:space="preserve">. </w:t>
      </w:r>
    </w:p>
    <w:p w14:paraId="4C50A629" w14:textId="77777777" w:rsidR="00AE4AF6" w:rsidRDefault="00AE4AF6" w:rsidP="00AE4AF6">
      <w:pPr>
        <w:spacing w:after="12"/>
        <w:ind w:left="360"/>
        <w:contextualSpacing/>
        <w:rPr>
          <w:szCs w:val="24"/>
        </w:rPr>
      </w:pPr>
    </w:p>
    <w:p w14:paraId="7F57C4DD" w14:textId="10E9F546" w:rsidR="00B04906" w:rsidRPr="00B04906" w:rsidRDefault="00B04906" w:rsidP="00794828">
      <w:pPr>
        <w:numPr>
          <w:ilvl w:val="0"/>
          <w:numId w:val="15"/>
        </w:numPr>
        <w:ind w:left="360"/>
        <w:rPr>
          <w:szCs w:val="24"/>
        </w:rPr>
      </w:pPr>
      <w:r>
        <w:rPr>
          <w:b/>
          <w:szCs w:val="24"/>
        </w:rPr>
        <w:t xml:space="preserve">Mandatory Contract </w:t>
      </w:r>
      <w:r w:rsidR="00523BF6">
        <w:rPr>
          <w:b/>
          <w:szCs w:val="24"/>
        </w:rPr>
        <w:t>Extension</w:t>
      </w:r>
      <w:r w:rsidR="00E56DF1">
        <w:rPr>
          <w:b/>
          <w:szCs w:val="24"/>
        </w:rPr>
        <w:t>.</w:t>
      </w:r>
      <w:r w:rsidR="00E56DF1">
        <w:rPr>
          <w:szCs w:val="24"/>
        </w:rPr>
        <w:t xml:space="preserve"> Section 8(o)(13)(G) of the Act provides, in part, that the extension of any PBV </w:t>
      </w:r>
      <w:r w:rsidR="00D85931">
        <w:rPr>
          <w:szCs w:val="24"/>
        </w:rPr>
        <w:t>HAP Contract</w:t>
      </w:r>
      <w:r w:rsidR="00E56DF1">
        <w:rPr>
          <w:szCs w:val="24"/>
        </w:rPr>
        <w:t xml:space="preserve"> is at the </w:t>
      </w:r>
      <w:r w:rsidR="00E56DF1" w:rsidRPr="0043258D">
        <w:rPr>
          <w:szCs w:val="24"/>
        </w:rPr>
        <w:t>discretion of the PHA. The regulatory provisions governing PBV HAP Contract extensions are contained in 24 CFR § 983.205(b)</w:t>
      </w:r>
      <w:r w:rsidR="0043258D" w:rsidRPr="0043258D">
        <w:rPr>
          <w:szCs w:val="24"/>
        </w:rPr>
        <w:t xml:space="preserve">. </w:t>
      </w:r>
      <w:r w:rsidR="00E56DF1" w:rsidRPr="0043258D">
        <w:rPr>
          <w:szCs w:val="24"/>
        </w:rPr>
        <w:t xml:space="preserve">By choosing to participate in RAD, the PHA agrees to offer, and the </w:t>
      </w:r>
      <w:r w:rsidR="000078CE" w:rsidRPr="0043258D">
        <w:rPr>
          <w:szCs w:val="24"/>
        </w:rPr>
        <w:t>Project Owner</w:t>
      </w:r>
      <w:r w:rsidR="00E56DF1" w:rsidRPr="0043258D">
        <w:rPr>
          <w:szCs w:val="24"/>
        </w:rPr>
        <w:t xml:space="preserve"> agrees to accept, </w:t>
      </w:r>
      <w:r w:rsidR="00B67312" w:rsidRPr="0043258D">
        <w:rPr>
          <w:szCs w:val="24"/>
        </w:rPr>
        <w:t>each</w:t>
      </w:r>
      <w:r w:rsidR="00E56DF1" w:rsidRPr="0043258D">
        <w:rPr>
          <w:szCs w:val="24"/>
        </w:rPr>
        <w:t xml:space="preserve"> extension of the initial HAP Contract term </w:t>
      </w:r>
      <w:r w:rsidR="00D31402">
        <w:rPr>
          <w:szCs w:val="24"/>
        </w:rPr>
        <w:t xml:space="preserve">during the term of the Elderly Housing Use Agreement </w:t>
      </w:r>
      <w:r w:rsidR="00E56DF1" w:rsidRPr="0043258D">
        <w:rPr>
          <w:szCs w:val="24"/>
        </w:rPr>
        <w:t xml:space="preserve">so that the contract </w:t>
      </w:r>
      <w:r w:rsidR="00D31402">
        <w:rPr>
          <w:szCs w:val="24"/>
        </w:rPr>
        <w:t>c</w:t>
      </w:r>
      <w:r w:rsidR="005055A5" w:rsidRPr="0043258D">
        <w:rPr>
          <w:szCs w:val="24"/>
        </w:rPr>
        <w:t>ould</w:t>
      </w:r>
      <w:r w:rsidR="00E56DF1" w:rsidRPr="0043258D">
        <w:rPr>
          <w:szCs w:val="24"/>
        </w:rPr>
        <w:t xml:space="preserve"> expire no earlier than the expiration date of the Elderly Housing Use Agreement.</w:t>
      </w:r>
      <w:r w:rsidR="00B67312" w:rsidRPr="0043258D">
        <w:rPr>
          <w:rStyle w:val="FootnoteReference"/>
          <w:szCs w:val="24"/>
        </w:rPr>
        <w:footnoteReference w:id="8"/>
      </w:r>
      <w:r w:rsidR="00E56DF1" w:rsidRPr="0043258D">
        <w:rPr>
          <w:szCs w:val="24"/>
        </w:rPr>
        <w:t xml:space="preserve"> As indicated in Section 4.5.A, the PBV </w:t>
      </w:r>
      <w:r w:rsidR="00D85931" w:rsidRPr="0043258D">
        <w:rPr>
          <w:szCs w:val="24"/>
        </w:rPr>
        <w:t>HAP Contract</w:t>
      </w:r>
      <w:r w:rsidR="00E56DF1" w:rsidRPr="0043258D">
        <w:rPr>
          <w:szCs w:val="24"/>
        </w:rPr>
        <w:t xml:space="preserve"> during the initial</w:t>
      </w:r>
      <w:r w:rsidR="00E56DF1" w:rsidRPr="00737084">
        <w:rPr>
          <w:szCs w:val="24"/>
        </w:rPr>
        <w:t xml:space="preserve"> and any extended term is subject to the requirement for sufficient </w:t>
      </w:r>
      <w:r w:rsidR="00E56DF1">
        <w:rPr>
          <w:szCs w:val="24"/>
        </w:rPr>
        <w:t xml:space="preserve">annual </w:t>
      </w:r>
      <w:r w:rsidR="00E56DF1" w:rsidRPr="00737084">
        <w:rPr>
          <w:szCs w:val="24"/>
        </w:rPr>
        <w:t>appropriated funding</w:t>
      </w:r>
      <w:r w:rsidR="00D64B93">
        <w:rPr>
          <w:szCs w:val="24"/>
        </w:rPr>
        <w:t>.</w:t>
      </w:r>
      <w:r w:rsidR="00E56DF1" w:rsidRPr="00737084" w:rsidDel="00C247C9">
        <w:rPr>
          <w:szCs w:val="24"/>
        </w:rPr>
        <w:t xml:space="preserve"> </w:t>
      </w:r>
      <w:r w:rsidRPr="007E7BC1">
        <w:rPr>
          <w:szCs w:val="24"/>
        </w:rPr>
        <w:t xml:space="preserve">The </w:t>
      </w:r>
      <w:r w:rsidR="00D64B93" w:rsidRPr="007E7BC1">
        <w:rPr>
          <w:szCs w:val="24"/>
        </w:rPr>
        <w:t>contract extension</w:t>
      </w:r>
      <w:r w:rsidRPr="007E7BC1">
        <w:rPr>
          <w:szCs w:val="24"/>
        </w:rPr>
        <w:t>(</w:t>
      </w:r>
      <w:r w:rsidRPr="00B04906">
        <w:rPr>
          <w:szCs w:val="24"/>
        </w:rPr>
        <w:t xml:space="preserve">s) shall be for the prescribed number and mix of units but may, upon request of the Project </w:t>
      </w:r>
      <w:r w:rsidR="00CA79EC">
        <w:rPr>
          <w:szCs w:val="24"/>
        </w:rPr>
        <w:t>Owner</w:t>
      </w:r>
      <w:r w:rsidRPr="00B04906">
        <w:rPr>
          <w:szCs w:val="24"/>
        </w:rPr>
        <w:t xml:space="preserve"> and subject to HUD approval, be on one or more transfer of assistance sites in lieu of the project site subject to the expiring contract. </w:t>
      </w:r>
    </w:p>
    <w:p w14:paraId="7F57C4DE" w14:textId="77777777" w:rsidR="00A14DCD" w:rsidRPr="00077064" w:rsidRDefault="00A14DCD" w:rsidP="00B04906">
      <w:pPr>
        <w:spacing w:after="12"/>
        <w:ind w:left="360"/>
        <w:contextualSpacing/>
        <w:rPr>
          <w:szCs w:val="24"/>
        </w:rPr>
      </w:pPr>
    </w:p>
    <w:p w14:paraId="7F57C4DF" w14:textId="42B243BD" w:rsidR="00A14DCD" w:rsidRPr="0043258D" w:rsidRDefault="00A14DCD" w:rsidP="00794828">
      <w:pPr>
        <w:numPr>
          <w:ilvl w:val="0"/>
          <w:numId w:val="15"/>
        </w:numPr>
        <w:spacing w:after="12"/>
        <w:ind w:left="360"/>
        <w:rPr>
          <w:szCs w:val="24"/>
        </w:rPr>
      </w:pPr>
      <w:r w:rsidRPr="0043258D">
        <w:rPr>
          <w:b/>
          <w:szCs w:val="24"/>
        </w:rPr>
        <w:t>PBV Percentage Limitation.</w:t>
      </w:r>
      <w:r w:rsidRPr="0043258D">
        <w:rPr>
          <w:szCs w:val="24"/>
        </w:rPr>
        <w:t xml:space="preserve"> Covered </w:t>
      </w:r>
      <w:r w:rsidR="005B7BE7" w:rsidRPr="0043258D">
        <w:rPr>
          <w:szCs w:val="24"/>
        </w:rPr>
        <w:t>P</w:t>
      </w:r>
      <w:r w:rsidRPr="0043258D">
        <w:rPr>
          <w:szCs w:val="24"/>
        </w:rPr>
        <w:t xml:space="preserve">rojects do not count against the percentage limitation applicable to the PBV program. </w:t>
      </w:r>
      <w:r w:rsidR="00220FDF" w:rsidRPr="0043258D">
        <w:rPr>
          <w:szCs w:val="24"/>
        </w:rPr>
        <w:t>Pursuant to the RAD statute,</w:t>
      </w:r>
      <w:r w:rsidRPr="0043258D">
        <w:rPr>
          <w:szCs w:val="24"/>
        </w:rPr>
        <w:t xml:space="preserve"> section 8(o)(13)(B) of the Act as well as 24 CFR § 983.6</w:t>
      </w:r>
      <w:r w:rsidR="00220FDF" w:rsidRPr="0043258D">
        <w:rPr>
          <w:szCs w:val="24"/>
        </w:rPr>
        <w:t xml:space="preserve"> do not apply</w:t>
      </w:r>
      <w:r w:rsidRPr="0043258D">
        <w:rPr>
          <w:szCs w:val="24"/>
        </w:rPr>
        <w:t xml:space="preserve">. As a result, a PHA that is administering RAD PBV assistance does not take the RAD PBV into consideration when calculating the percent limitation for any non-RAD PBV actions that are subject to the percent limitation. In other words, RAD PBV is excluded from both the numerator and the denominator when calculating the percent that may be </w:t>
      </w:r>
      <w:r w:rsidR="005B7BE7" w:rsidRPr="0043258D">
        <w:rPr>
          <w:szCs w:val="24"/>
        </w:rPr>
        <w:t>p</w:t>
      </w:r>
      <w:r w:rsidRPr="0043258D">
        <w:rPr>
          <w:szCs w:val="24"/>
        </w:rPr>
        <w:t>roject-based for non-RAD PBV.</w:t>
      </w:r>
    </w:p>
    <w:p w14:paraId="7F57C4E0" w14:textId="77777777" w:rsidR="00A14DCD" w:rsidRPr="0043258D" w:rsidRDefault="00A14DCD" w:rsidP="00A14DCD">
      <w:pPr>
        <w:spacing w:after="12"/>
        <w:rPr>
          <w:szCs w:val="24"/>
        </w:rPr>
      </w:pPr>
    </w:p>
    <w:p w14:paraId="1B4CF696" w14:textId="34F13A08" w:rsidR="00106012" w:rsidRPr="0043258D" w:rsidRDefault="00A14DCD" w:rsidP="00794828">
      <w:pPr>
        <w:numPr>
          <w:ilvl w:val="0"/>
          <w:numId w:val="15"/>
        </w:numPr>
        <w:spacing w:after="12"/>
        <w:ind w:left="360"/>
        <w:rPr>
          <w:szCs w:val="24"/>
        </w:rPr>
      </w:pPr>
      <w:r w:rsidRPr="0043258D">
        <w:rPr>
          <w:b/>
          <w:szCs w:val="24"/>
        </w:rPr>
        <w:t>Cap on the Number of PBV Units in Each Project.</w:t>
      </w:r>
      <w:r w:rsidR="00106012" w:rsidRPr="0043258D">
        <w:rPr>
          <w:rFonts w:ascii="Helvetica" w:hAnsi="Helvetica"/>
          <w:color w:val="333333"/>
        </w:rPr>
        <w:t xml:space="preserve"> </w:t>
      </w:r>
      <w:r w:rsidR="00CA7E77" w:rsidRPr="0043258D">
        <w:rPr>
          <w:szCs w:val="24"/>
        </w:rPr>
        <w:t xml:space="preserve">There is no cap on the number of units that may receive PBV assistance in each project. </w:t>
      </w:r>
      <w:r w:rsidR="009E2D50" w:rsidRPr="0043258D">
        <w:rPr>
          <w:szCs w:val="24"/>
        </w:rPr>
        <w:t xml:space="preserve">Per </w:t>
      </w:r>
      <w:r w:rsidR="00B22C52">
        <w:rPr>
          <w:szCs w:val="24"/>
        </w:rPr>
        <w:t xml:space="preserve">the HOTMA Implementation Notice, </w:t>
      </w:r>
      <w:r w:rsidR="009E2D50" w:rsidRPr="0043258D">
        <w:rPr>
          <w:szCs w:val="24"/>
        </w:rPr>
        <w:t xml:space="preserve">82 FR 5458, </w:t>
      </w:r>
      <w:r w:rsidR="00CA7E77" w:rsidRPr="0043258D">
        <w:rPr>
          <w:szCs w:val="24"/>
        </w:rPr>
        <w:t xml:space="preserve">the cap on the number of units that may receive PBV assistance in each project does not apply to </w:t>
      </w:r>
      <w:r w:rsidR="009E2D50" w:rsidRPr="0043258D">
        <w:rPr>
          <w:szCs w:val="24"/>
        </w:rPr>
        <w:t>projects</w:t>
      </w:r>
      <w:r w:rsidR="00106012" w:rsidRPr="0043258D">
        <w:rPr>
          <w:szCs w:val="24"/>
        </w:rPr>
        <w:t xml:space="preserve"> exclusively serving elderly families (as such term is defined in </w:t>
      </w:r>
      <w:hyperlink r:id="rId15" w:history="1">
        <w:r w:rsidR="00106012" w:rsidRPr="0043258D">
          <w:rPr>
            <w:szCs w:val="24"/>
          </w:rPr>
          <w:t xml:space="preserve">24 CFR </w:t>
        </w:r>
        <w:r w:rsidR="006357BB">
          <w:rPr>
            <w:szCs w:val="24"/>
          </w:rPr>
          <w:t xml:space="preserve">§ </w:t>
        </w:r>
        <w:r w:rsidR="00106012" w:rsidRPr="0043258D">
          <w:rPr>
            <w:szCs w:val="24"/>
          </w:rPr>
          <w:t>5.403</w:t>
        </w:r>
      </w:hyperlink>
      <w:r w:rsidR="00106012" w:rsidRPr="0043258D">
        <w:rPr>
          <w:szCs w:val="24"/>
        </w:rPr>
        <w:t>)</w:t>
      </w:r>
      <w:r w:rsidR="00CA7E77" w:rsidRPr="0043258D">
        <w:rPr>
          <w:szCs w:val="24"/>
        </w:rPr>
        <w:t>.</w:t>
      </w:r>
    </w:p>
    <w:p w14:paraId="4738085B" w14:textId="77777777" w:rsidR="00106012" w:rsidRPr="0043258D" w:rsidRDefault="00106012" w:rsidP="00106012">
      <w:pPr>
        <w:spacing w:after="12"/>
        <w:rPr>
          <w:szCs w:val="24"/>
        </w:rPr>
      </w:pPr>
    </w:p>
    <w:p w14:paraId="7F57C4E3" w14:textId="50E6A1B9" w:rsidR="00D85985" w:rsidRPr="0043258D" w:rsidRDefault="00A14DCD" w:rsidP="00794828">
      <w:pPr>
        <w:numPr>
          <w:ilvl w:val="0"/>
          <w:numId w:val="15"/>
        </w:numPr>
        <w:tabs>
          <w:tab w:val="left" w:pos="720"/>
        </w:tabs>
        <w:spacing w:after="12"/>
        <w:ind w:left="360"/>
        <w:contextualSpacing/>
        <w:rPr>
          <w:szCs w:val="24"/>
        </w:rPr>
      </w:pPr>
      <w:r w:rsidRPr="0043258D">
        <w:rPr>
          <w:b/>
          <w:bCs/>
          <w:szCs w:val="24"/>
        </w:rPr>
        <w:t xml:space="preserve">Site </w:t>
      </w:r>
      <w:r w:rsidR="00707051" w:rsidRPr="0043258D">
        <w:rPr>
          <w:b/>
          <w:bCs/>
          <w:szCs w:val="24"/>
        </w:rPr>
        <w:t>S</w:t>
      </w:r>
      <w:r w:rsidRPr="0043258D">
        <w:rPr>
          <w:b/>
          <w:bCs/>
          <w:szCs w:val="24"/>
        </w:rPr>
        <w:t>election –</w:t>
      </w:r>
      <w:r w:rsidRPr="0043258D">
        <w:rPr>
          <w:b/>
          <w:szCs w:val="24"/>
        </w:rPr>
        <w:t>Compliance with PBV Goals, section 8(o)(13)(C)(ii) of the Act and 24 CFR § 983.57(b)(1) and (c)(2)</w:t>
      </w:r>
      <w:r w:rsidRPr="0043258D">
        <w:rPr>
          <w:szCs w:val="24"/>
        </w:rPr>
        <w:t>. HUD waives these provisions having to do with deconcentration of poverty and expanding housing and economic opportunity, for the existing site. </w:t>
      </w:r>
    </w:p>
    <w:p w14:paraId="7F57C4E4" w14:textId="7EBEF1BA" w:rsidR="00D85985" w:rsidRPr="0043258D" w:rsidRDefault="00D85985" w:rsidP="0043258D">
      <w:pPr>
        <w:rPr>
          <w:b/>
          <w:szCs w:val="24"/>
        </w:rPr>
      </w:pPr>
    </w:p>
    <w:p w14:paraId="7443D59B" w14:textId="4E202D19" w:rsidR="00300D50" w:rsidRDefault="00CA79EC" w:rsidP="00794828">
      <w:pPr>
        <w:numPr>
          <w:ilvl w:val="0"/>
          <w:numId w:val="15"/>
        </w:numPr>
        <w:tabs>
          <w:tab w:val="left" w:pos="720"/>
        </w:tabs>
        <w:spacing w:after="12"/>
        <w:ind w:left="360"/>
        <w:contextualSpacing/>
        <w:rPr>
          <w:szCs w:val="24"/>
        </w:rPr>
      </w:pPr>
      <w:r>
        <w:rPr>
          <w:b/>
          <w:szCs w:val="24"/>
        </w:rPr>
        <w:t>Owner</w:t>
      </w:r>
      <w:r w:rsidR="00A14DCD" w:rsidRPr="00D85985">
        <w:rPr>
          <w:b/>
          <w:szCs w:val="24"/>
        </w:rPr>
        <w:t xml:space="preserve"> Proposal Selection Procedures, 24 CFR § 983.51.</w:t>
      </w:r>
      <w:r w:rsidR="00A14DCD" w:rsidRPr="00D85985">
        <w:rPr>
          <w:szCs w:val="24"/>
        </w:rPr>
        <w:t xml:space="preserve"> Projects are selected in accordance with program requirements detailed in this Notice. HUD is waiving 24 CFR § 983.51. </w:t>
      </w:r>
      <w:r w:rsidR="00106012">
        <w:t xml:space="preserve">For purposes of RAD, the date of PBV proposal selection shall be the date on which the </w:t>
      </w:r>
      <w:r w:rsidR="000078CE">
        <w:t>Project Owner</w:t>
      </w:r>
      <w:r w:rsidR="00106012">
        <w:t xml:space="preserve"> submits a Conversion Plan. </w:t>
      </w:r>
      <w:r w:rsidR="00A14DCD" w:rsidRPr="00D85985">
        <w:rPr>
          <w:szCs w:val="24"/>
        </w:rPr>
        <w:t>With respect to site selection standards, HUD requires compliance with the site selection standards as set forth in this Notice.</w:t>
      </w:r>
      <w:bookmarkStart w:id="196" w:name="_Hlk517353967"/>
    </w:p>
    <w:p w14:paraId="7F57C4E5" w14:textId="50916105" w:rsidR="00D85985" w:rsidRDefault="00D85985" w:rsidP="00300D50">
      <w:pPr>
        <w:tabs>
          <w:tab w:val="left" w:pos="720"/>
        </w:tabs>
        <w:spacing w:after="12"/>
        <w:ind w:left="360"/>
        <w:contextualSpacing/>
        <w:rPr>
          <w:szCs w:val="24"/>
        </w:rPr>
      </w:pPr>
    </w:p>
    <w:p w14:paraId="50D7E298" w14:textId="38D54CC8" w:rsidR="00300D50" w:rsidRPr="00300D50" w:rsidRDefault="00300D50" w:rsidP="00794828">
      <w:pPr>
        <w:pStyle w:val="ListParagraph"/>
        <w:numPr>
          <w:ilvl w:val="0"/>
          <w:numId w:val="15"/>
        </w:numPr>
        <w:ind w:left="270"/>
        <w:rPr>
          <w:sz w:val="24"/>
          <w:szCs w:val="24"/>
        </w:rPr>
      </w:pPr>
      <w:r w:rsidRPr="003E7E3D">
        <w:rPr>
          <w:b/>
          <w:sz w:val="24"/>
          <w:szCs w:val="24"/>
        </w:rPr>
        <w:t>Initial Contract Rent Setting.</w:t>
      </w:r>
      <w:r w:rsidRPr="003E7E3D">
        <w:rPr>
          <w:sz w:val="24"/>
          <w:szCs w:val="24"/>
        </w:rPr>
        <w:t xml:space="preserve"> Consistent with the requirements of section 8(o)(13)(H) of the </w:t>
      </w:r>
      <w:r w:rsidRPr="00300D50">
        <w:rPr>
          <w:sz w:val="24"/>
          <w:szCs w:val="24"/>
        </w:rPr>
        <w:t>1937 Act and 24 CFR part 983</w:t>
      </w:r>
      <w:r w:rsidR="006357BB">
        <w:rPr>
          <w:sz w:val="24"/>
          <w:szCs w:val="24"/>
        </w:rPr>
        <w:t>,</w:t>
      </w:r>
      <w:r w:rsidRPr="00300D50">
        <w:rPr>
          <w:sz w:val="24"/>
          <w:szCs w:val="24"/>
        </w:rPr>
        <w:t xml:space="preserve"> Subpart G, the initial contract rents will be the lower of</w:t>
      </w:r>
      <w:r w:rsidR="00536767">
        <w:rPr>
          <w:sz w:val="24"/>
          <w:szCs w:val="24"/>
        </w:rPr>
        <w:t>:</w:t>
      </w:r>
      <w:r w:rsidRPr="00300D50">
        <w:rPr>
          <w:sz w:val="24"/>
          <w:szCs w:val="24"/>
        </w:rPr>
        <w:t xml:space="preserve"> (a) the approved PRAC rents</w:t>
      </w:r>
      <w:r w:rsidR="006357BB">
        <w:rPr>
          <w:sz w:val="24"/>
          <w:szCs w:val="24"/>
        </w:rPr>
        <w:t>;</w:t>
      </w:r>
      <w:r w:rsidRPr="00300D50">
        <w:rPr>
          <w:rStyle w:val="FootnoteReference"/>
          <w:sz w:val="24"/>
          <w:szCs w:val="24"/>
        </w:rPr>
        <w:footnoteReference w:id="9"/>
      </w:r>
      <w:r w:rsidRPr="00300D50">
        <w:rPr>
          <w:sz w:val="24"/>
          <w:szCs w:val="24"/>
        </w:rPr>
        <w:t xml:space="preserve"> (b) the reasonable rent (as defined under 24 CFR §</w:t>
      </w:r>
      <w:r w:rsidRPr="00300D50">
        <w:rPr>
          <w:b/>
          <w:sz w:val="24"/>
          <w:szCs w:val="24"/>
        </w:rPr>
        <w:t xml:space="preserve"> </w:t>
      </w:r>
      <w:r w:rsidRPr="00300D50">
        <w:rPr>
          <w:sz w:val="24"/>
          <w:szCs w:val="24"/>
        </w:rPr>
        <w:t>983.303)</w:t>
      </w:r>
      <w:r w:rsidR="006357BB">
        <w:rPr>
          <w:sz w:val="24"/>
          <w:szCs w:val="24"/>
        </w:rPr>
        <w:t>;</w:t>
      </w:r>
      <w:r w:rsidRPr="00300D50">
        <w:rPr>
          <w:sz w:val="24"/>
          <w:szCs w:val="24"/>
        </w:rPr>
        <w:t xml:space="preserve"> (</w:t>
      </w:r>
      <w:r w:rsidR="00136FCC">
        <w:rPr>
          <w:sz w:val="24"/>
          <w:szCs w:val="24"/>
        </w:rPr>
        <w:t>c</w:t>
      </w:r>
      <w:r w:rsidRPr="00300D50">
        <w:rPr>
          <w:sz w:val="24"/>
          <w:szCs w:val="24"/>
        </w:rPr>
        <w:t xml:space="preserve">) an amount determined by the PHA, not to exceed 110 percent of the applicable FMR (or applicable exception payment standard, or rent cap approved in an MTW Plan), minus any utility allowance; or (d) the rent requested by the </w:t>
      </w:r>
      <w:r w:rsidR="000078CE">
        <w:rPr>
          <w:sz w:val="24"/>
          <w:szCs w:val="24"/>
        </w:rPr>
        <w:t>Project Owner</w:t>
      </w:r>
      <w:r w:rsidRPr="00300D50">
        <w:rPr>
          <w:sz w:val="24"/>
          <w:szCs w:val="24"/>
        </w:rPr>
        <w:t>.</w:t>
      </w:r>
    </w:p>
    <w:p w14:paraId="051CC5C7" w14:textId="77777777" w:rsidR="00300D50" w:rsidRPr="00300D50" w:rsidRDefault="00300D50" w:rsidP="00300D50">
      <w:pPr>
        <w:pStyle w:val="ListParagraph"/>
        <w:rPr>
          <w:sz w:val="24"/>
          <w:szCs w:val="24"/>
        </w:rPr>
      </w:pPr>
    </w:p>
    <w:p w14:paraId="580C6DF2" w14:textId="69EF6E58" w:rsidR="00300D50" w:rsidRPr="00300D50" w:rsidRDefault="00300D50" w:rsidP="00300D50">
      <w:pPr>
        <w:pStyle w:val="ListParagraph"/>
        <w:ind w:left="270"/>
        <w:rPr>
          <w:sz w:val="24"/>
          <w:szCs w:val="24"/>
        </w:rPr>
      </w:pPr>
      <w:r w:rsidRPr="00300D50">
        <w:rPr>
          <w:sz w:val="24"/>
          <w:szCs w:val="24"/>
        </w:rPr>
        <w:t xml:space="preserve">A </w:t>
      </w:r>
      <w:r w:rsidR="000078CE">
        <w:rPr>
          <w:sz w:val="24"/>
          <w:szCs w:val="24"/>
        </w:rPr>
        <w:t>Project Owner</w:t>
      </w:r>
      <w:r w:rsidRPr="00300D50">
        <w:rPr>
          <w:sz w:val="24"/>
          <w:szCs w:val="24"/>
        </w:rPr>
        <w:t xml:space="preserve"> may request that HUD use the small area Fair Market Rent (SAFMR) in place of the </w:t>
      </w:r>
      <w:r w:rsidR="00B22C52">
        <w:rPr>
          <w:sz w:val="24"/>
          <w:szCs w:val="24"/>
        </w:rPr>
        <w:t xml:space="preserve">applicable metropolitan area </w:t>
      </w:r>
      <w:r w:rsidRPr="00300D50">
        <w:rPr>
          <w:sz w:val="24"/>
          <w:szCs w:val="24"/>
        </w:rPr>
        <w:t>FMR in the computation of rents. To implement this provision, HUD is implementing an alternative requirement to 24 CFR §</w:t>
      </w:r>
      <w:r w:rsidR="00536767">
        <w:rPr>
          <w:sz w:val="24"/>
          <w:szCs w:val="24"/>
        </w:rPr>
        <w:t xml:space="preserve"> </w:t>
      </w:r>
      <w:r w:rsidRPr="00300D50">
        <w:rPr>
          <w:sz w:val="24"/>
          <w:szCs w:val="24"/>
        </w:rPr>
        <w:t xml:space="preserve">888.113(h) to permit the use of a SAFMR by project for initial contract rent setting. </w:t>
      </w:r>
      <w:r w:rsidR="00B22C52">
        <w:rPr>
          <w:sz w:val="24"/>
          <w:szCs w:val="24"/>
        </w:rPr>
        <w:t>This provision does not apply in cases where the administering PHA is using SAFMRs in its HCV program, and has chosen to apply the SAFMRs to its PBV projects (consistent with HUD regulations on the subject).</w:t>
      </w:r>
    </w:p>
    <w:p w14:paraId="6A97B89B" w14:textId="77777777" w:rsidR="00300D50" w:rsidRPr="00300D50" w:rsidRDefault="00300D50" w:rsidP="00300D50">
      <w:pPr>
        <w:pStyle w:val="ListParagraph"/>
        <w:ind w:left="270"/>
        <w:rPr>
          <w:sz w:val="24"/>
          <w:szCs w:val="24"/>
        </w:rPr>
      </w:pPr>
    </w:p>
    <w:p w14:paraId="13111A0D" w14:textId="2358CC19" w:rsidR="00300D50" w:rsidRPr="00300D50" w:rsidRDefault="00300D50" w:rsidP="00300D50">
      <w:pPr>
        <w:pStyle w:val="ListParagraph"/>
        <w:ind w:left="270"/>
        <w:rPr>
          <w:sz w:val="24"/>
          <w:szCs w:val="24"/>
        </w:rPr>
      </w:pPr>
      <w:r w:rsidRPr="00300D50">
        <w:rPr>
          <w:sz w:val="24"/>
          <w:szCs w:val="24"/>
        </w:rPr>
        <w:t>With HUD approval</w:t>
      </w:r>
      <w:r w:rsidR="00815B62">
        <w:rPr>
          <w:sz w:val="24"/>
          <w:szCs w:val="24"/>
        </w:rPr>
        <w:t>,</w:t>
      </w:r>
      <w:r w:rsidRPr="00300D50">
        <w:rPr>
          <w:sz w:val="24"/>
          <w:szCs w:val="24"/>
        </w:rPr>
        <w:t xml:space="preserve"> </w:t>
      </w:r>
      <w:r w:rsidR="000078CE">
        <w:rPr>
          <w:sz w:val="24"/>
          <w:szCs w:val="24"/>
        </w:rPr>
        <w:t>Project Owner</w:t>
      </w:r>
      <w:r w:rsidRPr="00300D50">
        <w:rPr>
          <w:sz w:val="24"/>
          <w:szCs w:val="24"/>
        </w:rPr>
        <w:t xml:space="preserve">s </w:t>
      </w:r>
      <w:r w:rsidR="004B34DE">
        <w:rPr>
          <w:sz w:val="24"/>
          <w:szCs w:val="24"/>
        </w:rPr>
        <w:t xml:space="preserve">and the PHA administering the contract </w:t>
      </w:r>
      <w:r w:rsidRPr="00300D50">
        <w:rPr>
          <w:sz w:val="24"/>
          <w:szCs w:val="24"/>
        </w:rPr>
        <w:t xml:space="preserve">may adjust subsidy </w:t>
      </w:r>
      <w:r w:rsidR="00B22C52">
        <w:rPr>
          <w:sz w:val="24"/>
          <w:szCs w:val="24"/>
        </w:rPr>
        <w:t xml:space="preserve">amounts </w:t>
      </w:r>
      <w:r w:rsidRPr="00300D50">
        <w:rPr>
          <w:sz w:val="24"/>
          <w:szCs w:val="24"/>
        </w:rPr>
        <w:t xml:space="preserve">across multiple Projects in order to modify initial contract rents that would be established in the HAP Contract, as long as the </w:t>
      </w:r>
      <w:r w:rsidR="00B22C52">
        <w:rPr>
          <w:sz w:val="24"/>
          <w:szCs w:val="24"/>
        </w:rPr>
        <w:t xml:space="preserve">subsidy adjustments </w:t>
      </w:r>
      <w:r w:rsidRPr="00300D50">
        <w:rPr>
          <w:sz w:val="24"/>
          <w:szCs w:val="24"/>
        </w:rPr>
        <w:t xml:space="preserve">do not exceed the aggregate subsidy for all of the Projects </w:t>
      </w:r>
      <w:r w:rsidR="00815B62">
        <w:rPr>
          <w:sz w:val="24"/>
          <w:szCs w:val="24"/>
        </w:rPr>
        <w:t xml:space="preserve">that </w:t>
      </w:r>
      <w:r w:rsidRPr="00300D50">
        <w:rPr>
          <w:sz w:val="24"/>
          <w:szCs w:val="24"/>
        </w:rPr>
        <w:t xml:space="preserve">the </w:t>
      </w:r>
      <w:r w:rsidR="000078CE">
        <w:rPr>
          <w:sz w:val="24"/>
          <w:szCs w:val="24"/>
        </w:rPr>
        <w:t>Project Owner</w:t>
      </w:r>
      <w:r w:rsidRPr="00300D50">
        <w:rPr>
          <w:sz w:val="24"/>
          <w:szCs w:val="24"/>
        </w:rPr>
        <w:t xml:space="preserve"> has submitted for conversion under RAD and </w:t>
      </w:r>
      <w:r w:rsidR="00815B62">
        <w:rPr>
          <w:sz w:val="24"/>
          <w:szCs w:val="24"/>
        </w:rPr>
        <w:t xml:space="preserve">as long as </w:t>
      </w:r>
      <w:r w:rsidRPr="00300D50">
        <w:rPr>
          <w:sz w:val="24"/>
          <w:szCs w:val="24"/>
        </w:rPr>
        <w:t xml:space="preserve">the rents do not exceed applicable rent limits described </w:t>
      </w:r>
      <w:r w:rsidR="00536767">
        <w:rPr>
          <w:sz w:val="24"/>
          <w:szCs w:val="24"/>
        </w:rPr>
        <w:t xml:space="preserve">in </w:t>
      </w:r>
      <w:r w:rsidRPr="00300D50">
        <w:rPr>
          <w:sz w:val="24"/>
          <w:szCs w:val="24"/>
        </w:rPr>
        <w:t xml:space="preserve">24 CFR part 983 </w:t>
      </w:r>
      <w:r w:rsidR="00536767">
        <w:rPr>
          <w:sz w:val="24"/>
          <w:szCs w:val="24"/>
        </w:rPr>
        <w:t>s</w:t>
      </w:r>
      <w:r w:rsidRPr="00300D50">
        <w:rPr>
          <w:sz w:val="24"/>
          <w:szCs w:val="24"/>
        </w:rPr>
        <w:t xml:space="preserve">ubpart G. This use, which HUD refers to as “bundled” rents, is permissible when a </w:t>
      </w:r>
      <w:r w:rsidR="000078CE">
        <w:rPr>
          <w:sz w:val="24"/>
          <w:szCs w:val="24"/>
        </w:rPr>
        <w:t>Project Owner</w:t>
      </w:r>
      <w:r w:rsidRPr="00300D50">
        <w:rPr>
          <w:sz w:val="24"/>
          <w:szCs w:val="24"/>
        </w:rPr>
        <w:t xml:space="preserve"> submits applications for two or more Projects. There is no limit to the number of Projects that a </w:t>
      </w:r>
      <w:r w:rsidR="000078CE">
        <w:rPr>
          <w:sz w:val="24"/>
          <w:szCs w:val="24"/>
        </w:rPr>
        <w:t>Project Owner</w:t>
      </w:r>
      <w:r w:rsidRPr="00300D50">
        <w:rPr>
          <w:sz w:val="24"/>
          <w:szCs w:val="24"/>
        </w:rPr>
        <w:t xml:space="preserve"> may bundle. The conversion of the donor Project must close prior to or simultaneous with the conversion of the recipient Project. For example, assume that a </w:t>
      </w:r>
      <w:r w:rsidR="000078CE">
        <w:rPr>
          <w:sz w:val="24"/>
          <w:szCs w:val="24"/>
        </w:rPr>
        <w:t>Project Owner</w:t>
      </w:r>
      <w:r w:rsidRPr="00300D50">
        <w:rPr>
          <w:sz w:val="24"/>
          <w:szCs w:val="24"/>
        </w:rPr>
        <w:t xml:space="preserve"> is considering bundling two identical Projects, both consisting of 100 units. In Project A, the contract rent is $500; and in Project B, the contract rent is $600. The </w:t>
      </w:r>
      <w:r w:rsidR="000078CE">
        <w:rPr>
          <w:sz w:val="24"/>
          <w:szCs w:val="24"/>
        </w:rPr>
        <w:t>Project Owner</w:t>
      </w:r>
      <w:r w:rsidRPr="00300D50">
        <w:rPr>
          <w:sz w:val="24"/>
          <w:szCs w:val="24"/>
        </w:rPr>
        <w:t xml:space="preserve"> could bundle the two projects such that the initial contract rents for both projects will be $550.</w:t>
      </w:r>
    </w:p>
    <w:p w14:paraId="12213234" w14:textId="77777777" w:rsidR="00300D50" w:rsidRDefault="00300D50" w:rsidP="00300D50">
      <w:pPr>
        <w:spacing w:after="12"/>
        <w:ind w:left="360"/>
        <w:contextualSpacing/>
        <w:rPr>
          <w:szCs w:val="24"/>
        </w:rPr>
      </w:pPr>
    </w:p>
    <w:p w14:paraId="509A06BC" w14:textId="6C4694C6" w:rsidR="0054387C" w:rsidRPr="0054387C" w:rsidRDefault="00300D50" w:rsidP="00794828">
      <w:pPr>
        <w:numPr>
          <w:ilvl w:val="0"/>
          <w:numId w:val="15"/>
        </w:numPr>
        <w:tabs>
          <w:tab w:val="left" w:pos="720"/>
        </w:tabs>
        <w:spacing w:after="12"/>
        <w:ind w:left="360"/>
        <w:contextualSpacing/>
        <w:rPr>
          <w:b/>
          <w:bCs/>
          <w:szCs w:val="24"/>
        </w:rPr>
      </w:pPr>
      <w:bookmarkStart w:id="197" w:name="_Hlk529543895"/>
      <w:r w:rsidRPr="00D24C3F">
        <w:rPr>
          <w:b/>
          <w:bCs/>
          <w:szCs w:val="24"/>
        </w:rPr>
        <w:t>Re</w:t>
      </w:r>
      <w:r w:rsidRPr="00D24C3F">
        <w:rPr>
          <w:b/>
          <w:szCs w:val="24"/>
        </w:rPr>
        <w:t>-Determined Rents</w:t>
      </w:r>
      <w:r w:rsidRPr="00D24C3F">
        <w:rPr>
          <w:szCs w:val="24"/>
        </w:rPr>
        <w:t xml:space="preserve">. </w:t>
      </w:r>
      <w:r w:rsidR="001C7CA5">
        <w:rPr>
          <w:szCs w:val="24"/>
        </w:rPr>
        <w:t xml:space="preserve">The Project Owner may request an increase in rent at the anniversary date of the HAP contract by written notice to the PHA in accordance with </w:t>
      </w:r>
      <w:r w:rsidR="001C7CA5" w:rsidRPr="00D24C3F">
        <w:rPr>
          <w:szCs w:val="24"/>
        </w:rPr>
        <w:t>24 CFR § 983.301(b)(</w:t>
      </w:r>
      <w:r w:rsidR="001C7CA5">
        <w:rPr>
          <w:szCs w:val="24"/>
        </w:rPr>
        <w:t>2</w:t>
      </w:r>
      <w:r w:rsidR="001C7CA5" w:rsidRPr="00D24C3F">
        <w:rPr>
          <w:szCs w:val="24"/>
        </w:rPr>
        <w:t>)</w:t>
      </w:r>
      <w:r w:rsidR="001C7CA5">
        <w:rPr>
          <w:szCs w:val="24"/>
        </w:rPr>
        <w:t xml:space="preserve">. Under the PBV regulations, a Project Owner may request an adjusted rent level below the PBV rent caps. </w:t>
      </w:r>
      <w:r w:rsidRPr="00D24C3F">
        <w:rPr>
          <w:szCs w:val="24"/>
        </w:rPr>
        <w:t xml:space="preserve">As a condition of converting to PBV under RAD, the </w:t>
      </w:r>
      <w:r w:rsidR="000078CE">
        <w:rPr>
          <w:szCs w:val="24"/>
        </w:rPr>
        <w:t>Project Owner</w:t>
      </w:r>
      <w:r w:rsidRPr="00D24C3F">
        <w:rPr>
          <w:szCs w:val="24"/>
        </w:rPr>
        <w:t xml:space="preserve"> agree</w:t>
      </w:r>
      <w:r w:rsidR="001C7CA5">
        <w:rPr>
          <w:szCs w:val="24"/>
        </w:rPr>
        <w:t>s</w:t>
      </w:r>
      <w:r w:rsidRPr="00D24C3F">
        <w:rPr>
          <w:szCs w:val="24"/>
        </w:rPr>
        <w:t xml:space="preserve"> to </w:t>
      </w:r>
      <w:r w:rsidR="001C7CA5">
        <w:rPr>
          <w:szCs w:val="24"/>
        </w:rPr>
        <w:t xml:space="preserve">never </w:t>
      </w:r>
      <w:r w:rsidRPr="00D24C3F">
        <w:rPr>
          <w:szCs w:val="24"/>
        </w:rPr>
        <w:t>request</w:t>
      </w:r>
      <w:r w:rsidR="001C7CA5">
        <w:rPr>
          <w:szCs w:val="24"/>
        </w:rPr>
        <w:t xml:space="preserve"> a rent increase in excess of the OCAF-adjusted rent. </w:t>
      </w:r>
      <w:r w:rsidRPr="00D24C3F">
        <w:rPr>
          <w:szCs w:val="24"/>
        </w:rPr>
        <w:t>This OCAF limitation is in addition to the existing PBV rent limitation in 24 CFR § 983.301(b) more generally.</w:t>
      </w:r>
      <w:r w:rsidR="001C7CA5">
        <w:rPr>
          <w:szCs w:val="24"/>
        </w:rPr>
        <w:t xml:space="preserve"> All other PBV provisions governing the redetermination of rent to the Project Owner apply</w:t>
      </w:r>
      <w:r w:rsidR="0043258D">
        <w:rPr>
          <w:szCs w:val="24"/>
        </w:rPr>
        <w:t xml:space="preserve">. </w:t>
      </w:r>
    </w:p>
    <w:p w14:paraId="33A34811" w14:textId="77777777" w:rsidR="0054387C" w:rsidRPr="0054387C" w:rsidRDefault="0054387C" w:rsidP="0054387C">
      <w:pPr>
        <w:tabs>
          <w:tab w:val="left" w:pos="720"/>
        </w:tabs>
        <w:spacing w:after="12"/>
        <w:contextualSpacing/>
        <w:rPr>
          <w:b/>
          <w:bCs/>
          <w:szCs w:val="24"/>
        </w:rPr>
      </w:pPr>
    </w:p>
    <w:p w14:paraId="7414393F" w14:textId="4F1291CD" w:rsidR="00D24C3F" w:rsidRPr="00D24C3F" w:rsidRDefault="0054387C" w:rsidP="00794828">
      <w:pPr>
        <w:numPr>
          <w:ilvl w:val="0"/>
          <w:numId w:val="15"/>
        </w:numPr>
        <w:tabs>
          <w:tab w:val="left" w:pos="720"/>
        </w:tabs>
        <w:spacing w:after="12"/>
        <w:ind w:left="360"/>
        <w:contextualSpacing/>
        <w:rPr>
          <w:b/>
          <w:bCs/>
          <w:szCs w:val="24"/>
        </w:rPr>
      </w:pPr>
      <w:r>
        <w:rPr>
          <w:b/>
          <w:bCs/>
          <w:szCs w:val="24"/>
        </w:rPr>
        <w:t xml:space="preserve">Distributions. </w:t>
      </w:r>
      <w:r>
        <w:rPr>
          <w:bCs/>
          <w:szCs w:val="24"/>
        </w:rPr>
        <w:t xml:space="preserve">As an alternative requirement, distribution of surplus cash is prohibited unless the Project Operating Reserve is funded at no less than $250 per unit </w:t>
      </w:r>
      <w:r w:rsidR="0043258D">
        <w:rPr>
          <w:bCs/>
          <w:szCs w:val="24"/>
        </w:rPr>
        <w:t xml:space="preserve">and </w:t>
      </w:r>
      <w:r w:rsidR="00136FCC">
        <w:rPr>
          <w:bCs/>
          <w:szCs w:val="24"/>
        </w:rPr>
        <w:t>the</w:t>
      </w:r>
      <w:r w:rsidR="0043258D">
        <w:rPr>
          <w:bCs/>
          <w:szCs w:val="24"/>
        </w:rPr>
        <w:t xml:space="preserve"> </w:t>
      </w:r>
      <w:r w:rsidR="00136FCC">
        <w:rPr>
          <w:bCs/>
          <w:szCs w:val="24"/>
        </w:rPr>
        <w:t>r</w:t>
      </w:r>
      <w:r w:rsidR="0043258D">
        <w:rPr>
          <w:bCs/>
          <w:szCs w:val="24"/>
        </w:rPr>
        <w:t xml:space="preserve">eplacement </w:t>
      </w:r>
      <w:r w:rsidR="00136FCC">
        <w:rPr>
          <w:bCs/>
          <w:szCs w:val="24"/>
        </w:rPr>
        <w:t>r</w:t>
      </w:r>
      <w:r w:rsidR="0043258D">
        <w:rPr>
          <w:bCs/>
          <w:szCs w:val="24"/>
        </w:rPr>
        <w:t>eserve is funded at a level prescribed by any conversion agreements</w:t>
      </w:r>
      <w:r>
        <w:rPr>
          <w:bCs/>
          <w:szCs w:val="24"/>
        </w:rPr>
        <w:t>.</w:t>
      </w:r>
    </w:p>
    <w:bookmarkEnd w:id="197"/>
    <w:p w14:paraId="7F57C4E6" w14:textId="2BC65E16" w:rsidR="00D85985" w:rsidRPr="00D24C3F" w:rsidRDefault="00D85985" w:rsidP="00D24C3F">
      <w:pPr>
        <w:tabs>
          <w:tab w:val="left" w:pos="720"/>
        </w:tabs>
        <w:spacing w:after="12"/>
        <w:ind w:left="360"/>
        <w:contextualSpacing/>
        <w:rPr>
          <w:b/>
          <w:bCs/>
          <w:szCs w:val="24"/>
        </w:rPr>
      </w:pPr>
    </w:p>
    <w:p w14:paraId="7F57C4E7" w14:textId="506E83AF" w:rsidR="00D85985" w:rsidRDefault="000E6FB4" w:rsidP="00794828">
      <w:pPr>
        <w:numPr>
          <w:ilvl w:val="0"/>
          <w:numId w:val="15"/>
        </w:numPr>
        <w:tabs>
          <w:tab w:val="left" w:pos="720"/>
        </w:tabs>
        <w:spacing w:after="12"/>
        <w:ind w:left="360"/>
        <w:contextualSpacing/>
        <w:rPr>
          <w:szCs w:val="24"/>
        </w:rPr>
      </w:pPr>
      <w:r w:rsidRPr="00D85985">
        <w:rPr>
          <w:b/>
          <w:bCs/>
          <w:szCs w:val="24"/>
        </w:rPr>
        <w:t xml:space="preserve">No Rescreening </w:t>
      </w:r>
      <w:r w:rsidR="00A14DCD" w:rsidRPr="00D85985">
        <w:rPr>
          <w:b/>
          <w:bCs/>
          <w:szCs w:val="24"/>
        </w:rPr>
        <w:t xml:space="preserve">of </w:t>
      </w:r>
      <w:r w:rsidRPr="00D85985">
        <w:rPr>
          <w:b/>
          <w:bCs/>
          <w:szCs w:val="24"/>
        </w:rPr>
        <w:t>Tenants upon C</w:t>
      </w:r>
      <w:r w:rsidR="00A14DCD" w:rsidRPr="00D85985">
        <w:rPr>
          <w:b/>
          <w:bCs/>
          <w:szCs w:val="24"/>
        </w:rPr>
        <w:t>onversion.</w:t>
      </w:r>
      <w:r w:rsidR="00A14DCD" w:rsidRPr="00D85985">
        <w:rPr>
          <w:szCs w:val="24"/>
        </w:rPr>
        <w:t xml:space="preserve"> </w:t>
      </w:r>
      <w:r w:rsidR="00812351" w:rsidRPr="00D85985">
        <w:rPr>
          <w:szCs w:val="24"/>
        </w:rPr>
        <w:t>Pursuant to the RAD Statute, at</w:t>
      </w:r>
      <w:r w:rsidR="00812351" w:rsidRPr="00D85985">
        <w:rPr>
          <w:b/>
          <w:szCs w:val="24"/>
        </w:rPr>
        <w:t xml:space="preserve"> </w:t>
      </w:r>
      <w:r w:rsidR="00812351" w:rsidRPr="00D85985">
        <w:rPr>
          <w:szCs w:val="24"/>
        </w:rPr>
        <w:t>conversion, current households cannot be excluded from occupancy at the Covered Project based on any rescreening, income eligibility, or income targeting</w:t>
      </w:r>
      <w:r w:rsidR="00AD131C" w:rsidRPr="00D85985">
        <w:rPr>
          <w:szCs w:val="24"/>
        </w:rPr>
        <w:t xml:space="preserve">. </w:t>
      </w:r>
      <w:r w:rsidR="00812351" w:rsidRPr="00D85985">
        <w:rPr>
          <w:szCs w:val="24"/>
        </w:rPr>
        <w:t>With respect to occupancy in the Covered Project, current households in the Converting Project will be grandfathered for application of any eligibility criteria to conditions that occurred prior to conversion but will be subject to any ongoing eligibility requirements for actions that occur after conversion.</w:t>
      </w:r>
      <w:r w:rsidR="00812351" w:rsidRPr="00077064">
        <w:rPr>
          <w:rStyle w:val="FootnoteReference"/>
          <w:szCs w:val="24"/>
        </w:rPr>
        <w:footnoteReference w:id="10"/>
      </w:r>
      <w:r w:rsidR="00812351" w:rsidRPr="00D85985">
        <w:rPr>
          <w:szCs w:val="24"/>
        </w:rPr>
        <w:t xml:space="preserve"> Post-conversion, the tenure of all residents of the Covered Project is protected pursuant to PBV requirements regarding continued occupancy</w:t>
      </w:r>
      <w:r w:rsidR="00AD131C" w:rsidRPr="00D85985">
        <w:rPr>
          <w:szCs w:val="24"/>
        </w:rPr>
        <w:t xml:space="preserve">. </w:t>
      </w:r>
      <w:r w:rsidR="00812351" w:rsidRPr="00D85985">
        <w:rPr>
          <w:szCs w:val="24"/>
        </w:rPr>
        <w:t>For example, a unit with a household that was over-income at time of conversion would continue to be treated as an assisted unit. Thus, 24 CFR § 982.201, concerning</w:t>
      </w:r>
      <w:r w:rsidR="00F505F6" w:rsidRPr="00D85985">
        <w:rPr>
          <w:szCs w:val="24"/>
        </w:rPr>
        <w:t xml:space="preserve"> income</w:t>
      </w:r>
      <w:r w:rsidR="00812351" w:rsidRPr="00D85985">
        <w:rPr>
          <w:szCs w:val="24"/>
        </w:rPr>
        <w:t xml:space="preserve"> eligibility and</w:t>
      </w:r>
      <w:r w:rsidR="00F505F6" w:rsidRPr="00D85985">
        <w:rPr>
          <w:szCs w:val="24"/>
        </w:rPr>
        <w:t xml:space="preserve"> income</w:t>
      </w:r>
      <w:r w:rsidR="00812351" w:rsidRPr="00D85985">
        <w:rPr>
          <w:szCs w:val="24"/>
        </w:rPr>
        <w:t xml:space="preserve"> targeting of tenants </w:t>
      </w:r>
      <w:r w:rsidR="00F505F6" w:rsidRPr="00D85985">
        <w:rPr>
          <w:szCs w:val="24"/>
        </w:rPr>
        <w:t>at</w:t>
      </w:r>
      <w:r w:rsidR="00812351" w:rsidRPr="00D85985">
        <w:rPr>
          <w:szCs w:val="24"/>
        </w:rPr>
        <w:t xml:space="preserve"> initial occupancy, will not apply for current households. Once the grandfathered household moves out, the unit must be leased to an eligible family</w:t>
      </w:r>
      <w:bookmarkEnd w:id="196"/>
      <w:r w:rsidR="0043258D">
        <w:rPr>
          <w:szCs w:val="24"/>
        </w:rPr>
        <w:t xml:space="preserve">. </w:t>
      </w:r>
      <w:r w:rsidR="00714FCF">
        <w:rPr>
          <w:szCs w:val="24"/>
        </w:rPr>
        <w:t>Income eligibility requirements associated with new sources of financing, such as Low-Income Housing Tax Credits, do not supersede this prohibition on rescreening, and the Project Owner may be required to exclude Section 8 units occupied by ineligible households from being covered by the new financing’s restrictions.</w:t>
      </w:r>
    </w:p>
    <w:p w14:paraId="54EDA617" w14:textId="77777777" w:rsidR="00EF6F72" w:rsidRDefault="00EF6F72" w:rsidP="00531525">
      <w:pPr>
        <w:tabs>
          <w:tab w:val="left" w:pos="720"/>
        </w:tabs>
        <w:spacing w:after="12"/>
        <w:ind w:left="360"/>
        <w:contextualSpacing/>
        <w:rPr>
          <w:szCs w:val="24"/>
        </w:rPr>
      </w:pPr>
    </w:p>
    <w:p w14:paraId="5EC3C27C" w14:textId="30EAF79E" w:rsidR="00EF6F72" w:rsidRDefault="00EF6F72" w:rsidP="00794828">
      <w:pPr>
        <w:numPr>
          <w:ilvl w:val="0"/>
          <w:numId w:val="15"/>
        </w:numPr>
        <w:tabs>
          <w:tab w:val="left" w:pos="720"/>
        </w:tabs>
        <w:spacing w:after="12"/>
        <w:ind w:left="360"/>
        <w:contextualSpacing/>
        <w:rPr>
          <w:szCs w:val="24"/>
        </w:rPr>
      </w:pPr>
      <w:r w:rsidRPr="00AE31B1">
        <w:rPr>
          <w:b/>
          <w:szCs w:val="24"/>
        </w:rPr>
        <w:t xml:space="preserve">Under-Occupied Units. </w:t>
      </w:r>
      <w:r w:rsidRPr="00447EB1">
        <w:rPr>
          <w:szCs w:val="24"/>
        </w:rPr>
        <w:t>If a family is in an under-occupied unit under 24 CFR § 983.260 at the time of conversion, the family may remain in th</w:t>
      </w:r>
      <w:r w:rsidR="00714FCF">
        <w:rPr>
          <w:szCs w:val="24"/>
        </w:rPr>
        <w:t>e</w:t>
      </w:r>
      <w:r w:rsidRPr="00447EB1">
        <w:rPr>
          <w:szCs w:val="24"/>
        </w:rPr>
        <w:t xml:space="preserve"> unit until an appropriate-sized unit becomes available in the Covered Project.</w:t>
      </w:r>
      <w:r w:rsidR="006D27A9">
        <w:rPr>
          <w:rStyle w:val="FootnoteReference"/>
          <w:szCs w:val="24"/>
        </w:rPr>
        <w:footnoteReference w:id="11"/>
      </w:r>
      <w:r w:rsidRPr="00447EB1">
        <w:rPr>
          <w:szCs w:val="24"/>
        </w:rPr>
        <w:t xml:space="preserve"> When an appropriate sized unit becomes available in the Covered Project, the family living in the under-occupied unit must move to the appropriate-sized unit within a reasonable period of time, as determined by the </w:t>
      </w:r>
      <w:r>
        <w:rPr>
          <w:szCs w:val="24"/>
        </w:rPr>
        <w:t>PHA</w:t>
      </w:r>
      <w:r w:rsidRPr="00447EB1">
        <w:rPr>
          <w:szCs w:val="24"/>
        </w:rPr>
        <w:t>. In order to allow the family to remain in the under-occupied unit until an appropriate-sized unit becomes available in the Covered Project, 24 CFR § 983.260 is waived</w:t>
      </w:r>
      <w:r w:rsidR="00CA7E77">
        <w:rPr>
          <w:szCs w:val="24"/>
        </w:rPr>
        <w:t>.</w:t>
      </w:r>
      <w:r w:rsidR="0007108E">
        <w:rPr>
          <w:rStyle w:val="FootnoteReference"/>
          <w:szCs w:val="24"/>
        </w:rPr>
        <w:footnoteReference w:id="12"/>
      </w:r>
    </w:p>
    <w:p w14:paraId="2DAD77FD" w14:textId="77777777" w:rsidR="00EF6F72" w:rsidRDefault="00EF6F72" w:rsidP="00531525">
      <w:pPr>
        <w:tabs>
          <w:tab w:val="left" w:pos="720"/>
        </w:tabs>
        <w:spacing w:after="12"/>
        <w:contextualSpacing/>
        <w:rPr>
          <w:szCs w:val="24"/>
        </w:rPr>
      </w:pPr>
    </w:p>
    <w:p w14:paraId="5F5BB6E5" w14:textId="22834F8B" w:rsidR="00EF6F72" w:rsidRPr="00160840" w:rsidRDefault="00EF6F72" w:rsidP="00794828">
      <w:pPr>
        <w:numPr>
          <w:ilvl w:val="0"/>
          <w:numId w:val="15"/>
        </w:numPr>
        <w:tabs>
          <w:tab w:val="left" w:pos="720"/>
        </w:tabs>
        <w:spacing w:after="12"/>
        <w:ind w:left="360"/>
        <w:contextualSpacing/>
        <w:rPr>
          <w:szCs w:val="24"/>
        </w:rPr>
      </w:pPr>
      <w:r w:rsidRPr="00160840">
        <w:rPr>
          <w:b/>
          <w:szCs w:val="24"/>
        </w:rPr>
        <w:t>Occupancy Requirements</w:t>
      </w:r>
      <w:r w:rsidR="0043258D">
        <w:rPr>
          <w:b/>
          <w:szCs w:val="24"/>
        </w:rPr>
        <w:t xml:space="preserve">. </w:t>
      </w:r>
      <w:r w:rsidR="00160840" w:rsidRPr="006D27A9">
        <w:rPr>
          <w:szCs w:val="24"/>
        </w:rPr>
        <w:t>I</w:t>
      </w:r>
      <w:r w:rsidR="00160840" w:rsidRPr="00160840">
        <w:rPr>
          <w:szCs w:val="24"/>
        </w:rPr>
        <w:t>n accordance with the</w:t>
      </w:r>
      <w:r w:rsidRPr="00160840">
        <w:rPr>
          <w:szCs w:val="24"/>
        </w:rPr>
        <w:t xml:space="preserve"> RAD statute</w:t>
      </w:r>
      <w:r w:rsidR="00160840" w:rsidRPr="00160840">
        <w:rPr>
          <w:szCs w:val="24"/>
        </w:rPr>
        <w:t>,</w:t>
      </w:r>
      <w:r w:rsidRPr="00160840">
        <w:rPr>
          <w:szCs w:val="24"/>
        </w:rPr>
        <w:t xml:space="preserve"> </w:t>
      </w:r>
      <w:r w:rsidR="00160840" w:rsidRPr="00160840">
        <w:rPr>
          <w:szCs w:val="24"/>
        </w:rPr>
        <w:t>as</w:t>
      </w:r>
      <w:r w:rsidRPr="00160840">
        <w:rPr>
          <w:szCs w:val="24"/>
        </w:rPr>
        <w:t xml:space="preserve"> amended by the </w:t>
      </w:r>
      <w:r w:rsidR="00D57E21">
        <w:rPr>
          <w:color w:val="212121"/>
        </w:rPr>
        <w:t>Consolidated Appropriations Act, 2018 (Pub. L. No. 115-141)</w:t>
      </w:r>
      <w:r w:rsidR="00D57E21" w:rsidRPr="00160840" w:rsidDel="00D57E21">
        <w:rPr>
          <w:szCs w:val="24"/>
        </w:rPr>
        <w:t xml:space="preserve"> </w:t>
      </w:r>
      <w:r w:rsidR="00160840" w:rsidRPr="00160840">
        <w:rPr>
          <w:szCs w:val="24"/>
        </w:rPr>
        <w:t>,</w:t>
      </w:r>
      <w:r w:rsidRPr="00160840">
        <w:rPr>
          <w:szCs w:val="24"/>
        </w:rPr>
        <w:t xml:space="preserve"> Section 202 PRAC </w:t>
      </w:r>
      <w:r w:rsidR="00160840" w:rsidRPr="00160840">
        <w:rPr>
          <w:szCs w:val="24"/>
        </w:rPr>
        <w:t xml:space="preserve">projects converting assistance under RAD must continue </w:t>
      </w:r>
      <w:r w:rsidRPr="00160840">
        <w:rPr>
          <w:szCs w:val="24"/>
        </w:rPr>
        <w:t>to serve elderly persons as defined in Section 202(k) of the Housing Act of 1959.</w:t>
      </w:r>
      <w:r w:rsidR="00160840">
        <w:rPr>
          <w:rStyle w:val="FootnoteReference"/>
          <w:szCs w:val="24"/>
        </w:rPr>
        <w:footnoteReference w:id="13"/>
      </w:r>
      <w:r w:rsidRPr="00160840">
        <w:rPr>
          <w:szCs w:val="24"/>
        </w:rPr>
        <w:t xml:space="preserve"> </w:t>
      </w:r>
      <w:r w:rsidR="00160840" w:rsidRPr="00160840">
        <w:rPr>
          <w:szCs w:val="24"/>
        </w:rPr>
        <w:t>N</w:t>
      </w:r>
      <w:r w:rsidRPr="00160840">
        <w:rPr>
          <w:szCs w:val="24"/>
        </w:rPr>
        <w:t>ew ad</w:t>
      </w:r>
      <w:r w:rsidR="00160840" w:rsidRPr="00160840">
        <w:rPr>
          <w:szCs w:val="24"/>
        </w:rPr>
        <w:t>missions</w:t>
      </w:r>
      <w:r w:rsidRPr="00160840">
        <w:rPr>
          <w:szCs w:val="24"/>
        </w:rPr>
        <w:t xml:space="preserve"> must meet the income requirements in 24 CFR </w:t>
      </w:r>
      <w:r w:rsidR="00536767">
        <w:rPr>
          <w:szCs w:val="24"/>
        </w:rPr>
        <w:t xml:space="preserve">§ </w:t>
      </w:r>
      <w:r w:rsidRPr="00160840">
        <w:rPr>
          <w:szCs w:val="24"/>
        </w:rPr>
        <w:t xml:space="preserve">982.201(b). Existing residents will be grandfathered in and are not subject to re-screening for income and occupancy eligibility. </w:t>
      </w:r>
    </w:p>
    <w:p w14:paraId="7F57C4F2" w14:textId="77777777" w:rsidR="00A14DCD" w:rsidRPr="00077064" w:rsidRDefault="00A14DCD" w:rsidP="00A14DCD">
      <w:pPr>
        <w:spacing w:after="12"/>
        <w:ind w:left="360"/>
        <w:rPr>
          <w:b/>
          <w:szCs w:val="24"/>
          <w:u w:val="single"/>
        </w:rPr>
      </w:pPr>
      <w:bookmarkStart w:id="198" w:name="_Toc314142421"/>
    </w:p>
    <w:p w14:paraId="7F57C4F3" w14:textId="2765A7D1" w:rsidR="00A14DCD" w:rsidRDefault="00A14DCD" w:rsidP="00794828">
      <w:pPr>
        <w:keepNext/>
        <w:keepLines/>
        <w:numPr>
          <w:ilvl w:val="1"/>
          <w:numId w:val="21"/>
        </w:numPr>
        <w:spacing w:after="12"/>
        <w:ind w:left="1440" w:hanging="450"/>
        <w:contextualSpacing/>
        <w:outlineLvl w:val="1"/>
        <w:rPr>
          <w:rFonts w:eastAsia="Times New Roman"/>
          <w:b/>
          <w:bCs/>
          <w:szCs w:val="24"/>
          <w:u w:val="single"/>
        </w:rPr>
      </w:pPr>
      <w:bookmarkStart w:id="199" w:name="_Toc358367389"/>
      <w:bookmarkStart w:id="200" w:name="_Toc353369290"/>
      <w:bookmarkStart w:id="201" w:name="_Toc416357160"/>
      <w:bookmarkStart w:id="202" w:name="_Toc416419316"/>
      <w:bookmarkStart w:id="203" w:name="_Toc421888923"/>
      <w:r w:rsidRPr="00077064">
        <w:rPr>
          <w:rFonts w:eastAsia="Times New Roman"/>
          <w:b/>
          <w:bCs/>
          <w:szCs w:val="24"/>
          <w:u w:val="single"/>
        </w:rPr>
        <w:t>Special Provisions Affecting Conversions to PBRA</w:t>
      </w:r>
      <w:bookmarkEnd w:id="198"/>
      <w:bookmarkEnd w:id="199"/>
      <w:bookmarkEnd w:id="200"/>
      <w:bookmarkEnd w:id="201"/>
      <w:bookmarkEnd w:id="202"/>
      <w:bookmarkEnd w:id="203"/>
    </w:p>
    <w:p w14:paraId="01E3B32E" w14:textId="77777777" w:rsidR="00536767" w:rsidRPr="00077064" w:rsidRDefault="00536767" w:rsidP="00536767">
      <w:pPr>
        <w:keepNext/>
        <w:keepLines/>
        <w:spacing w:after="12"/>
        <w:ind w:left="1440"/>
        <w:contextualSpacing/>
        <w:outlineLvl w:val="1"/>
        <w:rPr>
          <w:rFonts w:eastAsia="Times New Roman"/>
          <w:b/>
          <w:bCs/>
          <w:szCs w:val="24"/>
          <w:u w:val="single"/>
        </w:rPr>
      </w:pPr>
    </w:p>
    <w:p w14:paraId="7F57C4F4" w14:textId="36E581C4" w:rsidR="00A14DCD" w:rsidRPr="00077064" w:rsidRDefault="00A14DCD" w:rsidP="00A14DCD">
      <w:pPr>
        <w:spacing w:after="12"/>
        <w:rPr>
          <w:rFonts w:eastAsia="Times New Roman"/>
          <w:szCs w:val="24"/>
        </w:rPr>
      </w:pPr>
      <w:r w:rsidRPr="00077064">
        <w:rPr>
          <w:rFonts w:eastAsia="Times New Roman"/>
          <w:szCs w:val="24"/>
        </w:rPr>
        <w:t xml:space="preserve">For </w:t>
      </w:r>
      <w:r w:rsidR="00FD1E13">
        <w:rPr>
          <w:rFonts w:eastAsia="Times New Roman"/>
          <w:szCs w:val="24"/>
        </w:rPr>
        <w:t xml:space="preserve">202 </w:t>
      </w:r>
      <w:r w:rsidR="00165BDC">
        <w:rPr>
          <w:rFonts w:eastAsia="Times New Roman"/>
          <w:szCs w:val="24"/>
        </w:rPr>
        <w:t>PRAC</w:t>
      </w:r>
      <w:r w:rsidRPr="00077064">
        <w:rPr>
          <w:rFonts w:eastAsia="Times New Roman"/>
          <w:szCs w:val="24"/>
        </w:rPr>
        <w:t xml:space="preserve"> </w:t>
      </w:r>
      <w:r w:rsidR="00546060">
        <w:rPr>
          <w:rFonts w:eastAsia="Times New Roman"/>
          <w:szCs w:val="24"/>
        </w:rPr>
        <w:t>P</w:t>
      </w:r>
      <w:r w:rsidRPr="00077064">
        <w:rPr>
          <w:rFonts w:eastAsia="Times New Roman"/>
          <w:szCs w:val="24"/>
        </w:rPr>
        <w:t xml:space="preserve">rojects converting assistance to PBRA, 24 CFR </w:t>
      </w:r>
      <w:r w:rsidR="00457E54">
        <w:rPr>
          <w:rFonts w:eastAsia="Times New Roman"/>
          <w:szCs w:val="24"/>
        </w:rPr>
        <w:t>p</w:t>
      </w:r>
      <w:r w:rsidRPr="00077064">
        <w:rPr>
          <w:rFonts w:eastAsia="Times New Roman"/>
          <w:szCs w:val="24"/>
        </w:rPr>
        <w:t xml:space="preserve">art 880 </w:t>
      </w:r>
      <w:r w:rsidR="00457E54">
        <w:rPr>
          <w:rFonts w:eastAsia="Times New Roman"/>
          <w:szCs w:val="24"/>
        </w:rPr>
        <w:t>(“</w:t>
      </w:r>
      <w:r w:rsidRPr="00077064">
        <w:rPr>
          <w:rFonts w:eastAsia="Times New Roman"/>
          <w:szCs w:val="24"/>
        </w:rPr>
        <w:t>Section 8 Housing Assistance Payments Program for New Construction</w:t>
      </w:r>
      <w:r w:rsidR="00457E54">
        <w:rPr>
          <w:rFonts w:eastAsia="Times New Roman"/>
          <w:szCs w:val="24"/>
        </w:rPr>
        <w:t>”)</w:t>
      </w:r>
      <w:r w:rsidR="009015C1">
        <w:rPr>
          <w:rFonts w:eastAsia="Times New Roman"/>
          <w:szCs w:val="24"/>
        </w:rPr>
        <w:t>,</w:t>
      </w:r>
      <w:r w:rsidRPr="00077064">
        <w:rPr>
          <w:rFonts w:eastAsia="Times New Roman"/>
          <w:szCs w:val="24"/>
        </w:rPr>
        <w:t xml:space="preserve"> </w:t>
      </w:r>
      <w:r w:rsidR="00457E54">
        <w:rPr>
          <w:rFonts w:eastAsia="Times New Roman"/>
          <w:szCs w:val="24"/>
        </w:rPr>
        <w:t xml:space="preserve">as modified and as published in Appendix I of this Notice, </w:t>
      </w:r>
      <w:r w:rsidRPr="00077064">
        <w:rPr>
          <w:rFonts w:eastAsia="Times New Roman"/>
          <w:szCs w:val="24"/>
        </w:rPr>
        <w:t>and applicable standing and subsequent Office of Housing guidance</w:t>
      </w:r>
      <w:r w:rsidRPr="00077064">
        <w:rPr>
          <w:rFonts w:eastAsia="Times New Roman"/>
          <w:szCs w:val="24"/>
          <w:vertAlign w:val="superscript"/>
        </w:rPr>
        <w:footnoteReference w:id="14"/>
      </w:r>
      <w:r w:rsidRPr="00077064">
        <w:rPr>
          <w:rFonts w:eastAsia="Times New Roman"/>
          <w:szCs w:val="24"/>
        </w:rPr>
        <w:t xml:space="preserve"> will apply, except for the provisions listed below. Where applicable, reference is made to the affected statute and/or regulation. </w:t>
      </w:r>
    </w:p>
    <w:p w14:paraId="7F57C4F5" w14:textId="77777777" w:rsidR="00A14DCD" w:rsidRPr="00077064" w:rsidRDefault="00A14DCD" w:rsidP="00A14DCD">
      <w:pPr>
        <w:spacing w:after="12"/>
        <w:rPr>
          <w:rFonts w:eastAsia="Times New Roman"/>
          <w:szCs w:val="24"/>
        </w:rPr>
      </w:pPr>
    </w:p>
    <w:p w14:paraId="7F57C4F6" w14:textId="1DFB6F56" w:rsidR="00A14DCD" w:rsidRPr="00077064" w:rsidRDefault="00A14DCD" w:rsidP="00794828">
      <w:pPr>
        <w:numPr>
          <w:ilvl w:val="0"/>
          <w:numId w:val="13"/>
        </w:numPr>
        <w:spacing w:after="12"/>
        <w:ind w:left="360"/>
        <w:rPr>
          <w:szCs w:val="24"/>
        </w:rPr>
      </w:pPr>
      <w:r w:rsidRPr="00077064">
        <w:rPr>
          <w:b/>
          <w:bCs/>
          <w:szCs w:val="24"/>
        </w:rPr>
        <w:t>Length of Contract.</w:t>
      </w:r>
      <w:r w:rsidRPr="00077064">
        <w:rPr>
          <w:bCs/>
          <w:szCs w:val="24"/>
        </w:rPr>
        <w:t xml:space="preserve"> </w:t>
      </w:r>
      <w:r w:rsidR="00E56417">
        <w:rPr>
          <w:bCs/>
          <w:szCs w:val="24"/>
        </w:rPr>
        <w:t>Pursuant to the RAD statute</w:t>
      </w:r>
      <w:r w:rsidR="00815B62">
        <w:rPr>
          <w:bCs/>
          <w:szCs w:val="24"/>
        </w:rPr>
        <w:t>,</w:t>
      </w:r>
      <w:r w:rsidR="00E56417">
        <w:rPr>
          <w:bCs/>
          <w:szCs w:val="24"/>
        </w:rPr>
        <w:t xml:space="preserve"> </w:t>
      </w:r>
      <w:r w:rsidR="00140CA2" w:rsidRPr="00077064">
        <w:rPr>
          <w:szCs w:val="24"/>
        </w:rPr>
        <w:t xml:space="preserve">Covered Projects shall have an initial HAP </w:t>
      </w:r>
      <w:r w:rsidR="00140CA2">
        <w:rPr>
          <w:szCs w:val="24"/>
        </w:rPr>
        <w:t xml:space="preserve">Contract </w:t>
      </w:r>
      <w:r w:rsidR="00140CA2" w:rsidRPr="00077064">
        <w:rPr>
          <w:szCs w:val="24"/>
        </w:rPr>
        <w:t xml:space="preserve">term of 20 years. </w:t>
      </w:r>
      <w:r w:rsidR="00E56417">
        <w:rPr>
          <w:szCs w:val="24"/>
        </w:rPr>
        <w:t xml:space="preserve">Accordingly, </w:t>
      </w:r>
      <w:r w:rsidR="00140CA2" w:rsidRPr="00077064">
        <w:rPr>
          <w:szCs w:val="24"/>
        </w:rPr>
        <w:t>section 8(d)(2)(A) of the Act, which establishes a maximum term of 15 years for “an existing structure</w:t>
      </w:r>
      <w:r w:rsidR="00E56417">
        <w:rPr>
          <w:szCs w:val="24"/>
        </w:rPr>
        <w:t>,</w:t>
      </w:r>
      <w:r w:rsidR="00140CA2" w:rsidRPr="00077064">
        <w:rPr>
          <w:szCs w:val="24"/>
        </w:rPr>
        <w:t>”</w:t>
      </w:r>
      <w:r w:rsidR="00E56417">
        <w:rPr>
          <w:szCs w:val="24"/>
        </w:rPr>
        <w:t xml:space="preserve"> does not apply.</w:t>
      </w:r>
      <w:r w:rsidR="00140CA2" w:rsidRPr="00077064">
        <w:rPr>
          <w:szCs w:val="24"/>
        </w:rPr>
        <w:t xml:space="preserve"> Additionally, 24 CFR § 880.502, which imposes maximum contract terms for New Construction </w:t>
      </w:r>
      <w:r w:rsidR="005B7BE7">
        <w:rPr>
          <w:szCs w:val="24"/>
        </w:rPr>
        <w:t>P</w:t>
      </w:r>
      <w:r w:rsidR="00140CA2" w:rsidRPr="00077064">
        <w:rPr>
          <w:szCs w:val="24"/>
        </w:rPr>
        <w:t>rojects consistent with statutory authority that was repealed in 1983, does not apply.</w:t>
      </w:r>
    </w:p>
    <w:p w14:paraId="7F57C4F7" w14:textId="77777777" w:rsidR="00A14DCD" w:rsidRPr="00077064" w:rsidRDefault="00A14DCD" w:rsidP="00A14DCD">
      <w:pPr>
        <w:spacing w:after="12"/>
        <w:ind w:left="360"/>
        <w:rPr>
          <w:szCs w:val="24"/>
        </w:rPr>
      </w:pPr>
    </w:p>
    <w:p w14:paraId="7F57C4F8" w14:textId="57B99223" w:rsidR="00A14DCD" w:rsidRPr="00077064" w:rsidRDefault="00A1754A" w:rsidP="00794828">
      <w:pPr>
        <w:numPr>
          <w:ilvl w:val="0"/>
          <w:numId w:val="13"/>
        </w:numPr>
        <w:spacing w:after="12"/>
        <w:ind w:left="360"/>
        <w:rPr>
          <w:szCs w:val="24"/>
        </w:rPr>
      </w:pPr>
      <w:bookmarkStart w:id="204" w:name="_Hlk526857829"/>
      <w:r>
        <w:rPr>
          <w:b/>
          <w:bCs/>
          <w:szCs w:val="24"/>
        </w:rPr>
        <w:t xml:space="preserve">Mandatory </w:t>
      </w:r>
      <w:r w:rsidR="00A14DCD" w:rsidRPr="00077064">
        <w:rPr>
          <w:b/>
          <w:bCs/>
          <w:szCs w:val="24"/>
        </w:rPr>
        <w:t>Contract Renewal.</w:t>
      </w:r>
      <w:r w:rsidR="00A14DCD" w:rsidRPr="00077064">
        <w:rPr>
          <w:szCs w:val="24"/>
        </w:rPr>
        <w:t xml:space="preserve"> Pursuant to the RAD Statute, after the initial term of the HAP Contract, the </w:t>
      </w:r>
      <w:r w:rsidR="000078CE">
        <w:rPr>
          <w:szCs w:val="24"/>
        </w:rPr>
        <w:t>Project Owner</w:t>
      </w:r>
      <w:r w:rsidR="00A14DCD" w:rsidRPr="00077064">
        <w:rPr>
          <w:szCs w:val="24"/>
        </w:rPr>
        <w:t xml:space="preserve"> is eligible for renewal of the contract under section 524 of MAHRAA, subject to the terms and conditions applicable at the time of renewal and the availability of appropriations for each year of such renewal.</w:t>
      </w:r>
      <w:r w:rsidR="00E60208">
        <w:rPr>
          <w:szCs w:val="24"/>
        </w:rPr>
        <w:t xml:space="preserve"> </w:t>
      </w:r>
      <w:r w:rsidR="00B22C52">
        <w:rPr>
          <w:szCs w:val="24"/>
        </w:rPr>
        <w:t xml:space="preserve">By choosing to participate in RAD, the Project Owner agrees </w:t>
      </w:r>
      <w:r w:rsidR="00312332">
        <w:rPr>
          <w:szCs w:val="24"/>
        </w:rPr>
        <w:t xml:space="preserve">to </w:t>
      </w:r>
      <w:r w:rsidR="00707051">
        <w:rPr>
          <w:szCs w:val="24"/>
        </w:rPr>
        <w:t xml:space="preserve">accept each offer </w:t>
      </w:r>
      <w:r w:rsidR="00312332">
        <w:rPr>
          <w:szCs w:val="24"/>
        </w:rPr>
        <w:t xml:space="preserve">to renew the HAP contract during the term of the Elderly Housing Use Agreement </w:t>
      </w:r>
      <w:r w:rsidR="00693887">
        <w:rPr>
          <w:szCs w:val="24"/>
        </w:rPr>
        <w:t xml:space="preserve">so that </w:t>
      </w:r>
      <w:r w:rsidR="001A60D4">
        <w:rPr>
          <w:szCs w:val="24"/>
        </w:rPr>
        <w:t xml:space="preserve">any renewal of </w:t>
      </w:r>
      <w:r w:rsidR="00693887">
        <w:rPr>
          <w:szCs w:val="24"/>
        </w:rPr>
        <w:t xml:space="preserve">the HAP contract </w:t>
      </w:r>
      <w:r w:rsidR="00312332">
        <w:rPr>
          <w:szCs w:val="24"/>
        </w:rPr>
        <w:t>c</w:t>
      </w:r>
      <w:r w:rsidR="00693887">
        <w:rPr>
          <w:szCs w:val="24"/>
        </w:rPr>
        <w:t xml:space="preserve">ould expire no earlier than the expiration of </w:t>
      </w:r>
      <w:r w:rsidR="00902893">
        <w:rPr>
          <w:szCs w:val="24"/>
        </w:rPr>
        <w:t>the Elderly Housing Use Agreement</w:t>
      </w:r>
      <w:r w:rsidR="001A60D4">
        <w:rPr>
          <w:szCs w:val="24"/>
        </w:rPr>
        <w:t>,</w:t>
      </w:r>
      <w:r w:rsidR="009F6647">
        <w:rPr>
          <w:szCs w:val="24"/>
        </w:rPr>
        <w:t xml:space="preserve"> but not to exceed a term of 20 years for any given renewal</w:t>
      </w:r>
      <w:r w:rsidR="00902893">
        <w:rPr>
          <w:szCs w:val="24"/>
        </w:rPr>
        <w:t>.</w:t>
      </w:r>
      <w:r w:rsidR="00B67312">
        <w:rPr>
          <w:rStyle w:val="FootnoteReference"/>
          <w:szCs w:val="24"/>
        </w:rPr>
        <w:footnoteReference w:id="15"/>
      </w:r>
      <w:r w:rsidR="009A72C3" w:rsidRPr="009A72C3">
        <w:t xml:space="preserve"> </w:t>
      </w:r>
      <w:r w:rsidR="00B67312">
        <w:t>T</w:t>
      </w:r>
      <w:r w:rsidR="00E60208" w:rsidRPr="00B04906">
        <w:rPr>
          <w:szCs w:val="24"/>
        </w:rPr>
        <w:t xml:space="preserve">he renewal contract(s) shall be for the prescribed number and mix of units but may, upon request of the Project </w:t>
      </w:r>
      <w:r w:rsidR="00CA79EC">
        <w:rPr>
          <w:szCs w:val="24"/>
        </w:rPr>
        <w:t>Owner</w:t>
      </w:r>
      <w:r w:rsidR="00E60208" w:rsidRPr="00B04906">
        <w:rPr>
          <w:szCs w:val="24"/>
        </w:rPr>
        <w:t xml:space="preserve"> and subject to HUD approval, be on one or more transfer of assistance sites in lieu of the project site </w:t>
      </w:r>
      <w:r w:rsidR="009A72C3">
        <w:rPr>
          <w:szCs w:val="24"/>
        </w:rPr>
        <w:t>associated with</w:t>
      </w:r>
      <w:r w:rsidR="00E60208" w:rsidRPr="00B04906">
        <w:rPr>
          <w:szCs w:val="24"/>
        </w:rPr>
        <w:t xml:space="preserve"> the expiring contract.</w:t>
      </w:r>
    </w:p>
    <w:bookmarkEnd w:id="204"/>
    <w:p w14:paraId="7F57C4F9" w14:textId="77777777" w:rsidR="00A14DCD" w:rsidRPr="00FD1E13" w:rsidRDefault="00A14DCD" w:rsidP="00A14DCD">
      <w:pPr>
        <w:spacing w:after="12"/>
        <w:rPr>
          <w:szCs w:val="24"/>
        </w:rPr>
      </w:pPr>
    </w:p>
    <w:p w14:paraId="7F57C4FA" w14:textId="07AF2D18" w:rsidR="006D10BA" w:rsidRPr="006D10BA" w:rsidRDefault="00A14DCD" w:rsidP="00794828">
      <w:pPr>
        <w:pStyle w:val="ListParagraph"/>
        <w:numPr>
          <w:ilvl w:val="0"/>
          <w:numId w:val="13"/>
        </w:numPr>
        <w:ind w:left="360"/>
        <w:rPr>
          <w:sz w:val="24"/>
          <w:szCs w:val="24"/>
        </w:rPr>
      </w:pPr>
      <w:r w:rsidRPr="006D10BA">
        <w:rPr>
          <w:b/>
          <w:sz w:val="24"/>
          <w:szCs w:val="24"/>
        </w:rPr>
        <w:t>Initial Contract Rent Setting</w:t>
      </w:r>
      <w:r w:rsidRPr="006D10BA">
        <w:rPr>
          <w:sz w:val="24"/>
          <w:szCs w:val="24"/>
        </w:rPr>
        <w:t xml:space="preserve">. </w:t>
      </w:r>
      <w:r w:rsidR="00F42D3E">
        <w:rPr>
          <w:sz w:val="24"/>
          <w:szCs w:val="24"/>
        </w:rPr>
        <w:t>Consistent with</w:t>
      </w:r>
      <w:r w:rsidRPr="006D10BA">
        <w:rPr>
          <w:sz w:val="24"/>
          <w:szCs w:val="24"/>
        </w:rPr>
        <w:t xml:space="preserve"> the requirements of </w:t>
      </w:r>
      <w:r w:rsidR="003E7E3D">
        <w:rPr>
          <w:sz w:val="24"/>
          <w:szCs w:val="24"/>
        </w:rPr>
        <w:t>S</w:t>
      </w:r>
      <w:r w:rsidRPr="006D10BA">
        <w:rPr>
          <w:sz w:val="24"/>
          <w:szCs w:val="24"/>
        </w:rPr>
        <w:t xml:space="preserve">ection 8(c)(1) of the Act, the initial contract rents </w:t>
      </w:r>
      <w:r w:rsidR="00842FA8" w:rsidRPr="006D10BA">
        <w:rPr>
          <w:sz w:val="24"/>
          <w:szCs w:val="24"/>
        </w:rPr>
        <w:t xml:space="preserve">will be </w:t>
      </w:r>
      <w:r w:rsidR="004E0980" w:rsidRPr="006D10BA">
        <w:rPr>
          <w:sz w:val="24"/>
          <w:szCs w:val="24"/>
        </w:rPr>
        <w:t xml:space="preserve">the lower of (a) </w:t>
      </w:r>
      <w:r w:rsidR="00AA706A">
        <w:rPr>
          <w:sz w:val="24"/>
          <w:szCs w:val="24"/>
        </w:rPr>
        <w:t>the approved PRAC rents</w:t>
      </w:r>
      <w:r w:rsidR="00AA706A">
        <w:rPr>
          <w:rStyle w:val="FootnoteReference"/>
          <w:sz w:val="24"/>
          <w:szCs w:val="24"/>
        </w:rPr>
        <w:footnoteReference w:id="16"/>
      </w:r>
      <w:r w:rsidR="004E0980" w:rsidRPr="006D10BA">
        <w:rPr>
          <w:sz w:val="24"/>
          <w:szCs w:val="24"/>
        </w:rPr>
        <w:t xml:space="preserve"> </w:t>
      </w:r>
      <w:r w:rsidR="006D10BA" w:rsidRPr="006D10BA">
        <w:rPr>
          <w:sz w:val="24"/>
          <w:szCs w:val="24"/>
        </w:rPr>
        <w:t xml:space="preserve">or </w:t>
      </w:r>
      <w:r w:rsidR="004E0980" w:rsidRPr="006D10BA">
        <w:rPr>
          <w:sz w:val="24"/>
          <w:szCs w:val="24"/>
        </w:rPr>
        <w:t>(b) 120% of the applicable fair market rent (FMR), less any utility allowances</w:t>
      </w:r>
      <w:r w:rsidR="009316F5">
        <w:rPr>
          <w:sz w:val="24"/>
          <w:szCs w:val="24"/>
        </w:rPr>
        <w:t>.</w:t>
      </w:r>
      <w:r w:rsidR="004E0980" w:rsidRPr="006D10BA">
        <w:rPr>
          <w:sz w:val="24"/>
          <w:szCs w:val="24"/>
        </w:rPr>
        <w:t xml:space="preserve"> </w:t>
      </w:r>
    </w:p>
    <w:p w14:paraId="7F57C4FC" w14:textId="052C9056" w:rsidR="0093022C" w:rsidRDefault="006D10BA" w:rsidP="009A75B8">
      <w:pPr>
        <w:ind w:left="360"/>
      </w:pPr>
      <w:bookmarkStart w:id="205" w:name="_Hlk529281800"/>
      <w:r>
        <w:rPr>
          <w:szCs w:val="20"/>
        </w:rPr>
        <w:t>A</w:t>
      </w:r>
      <w:r w:rsidR="00BA3776" w:rsidRPr="00A2793B">
        <w:rPr>
          <w:szCs w:val="20"/>
        </w:rPr>
        <w:t xml:space="preserve"> </w:t>
      </w:r>
      <w:r w:rsidR="000078CE">
        <w:rPr>
          <w:szCs w:val="20"/>
        </w:rPr>
        <w:t>Project Owner</w:t>
      </w:r>
      <w:r w:rsidR="00BA3776" w:rsidRPr="00A2793B">
        <w:rPr>
          <w:szCs w:val="20"/>
        </w:rPr>
        <w:t xml:space="preserve"> may </w:t>
      </w:r>
      <w:r w:rsidR="00EE5BCF">
        <w:rPr>
          <w:szCs w:val="20"/>
        </w:rPr>
        <w:t>request that HUD use</w:t>
      </w:r>
      <w:r w:rsidR="00BA3776" w:rsidRPr="00A2793B">
        <w:rPr>
          <w:szCs w:val="20"/>
        </w:rPr>
        <w:t xml:space="preserve"> the small area </w:t>
      </w:r>
      <w:r w:rsidR="006B1C0E">
        <w:rPr>
          <w:szCs w:val="20"/>
        </w:rPr>
        <w:t>F</w:t>
      </w:r>
      <w:r w:rsidR="00BA3776" w:rsidRPr="00A2793B">
        <w:rPr>
          <w:szCs w:val="20"/>
        </w:rPr>
        <w:t xml:space="preserve">air </w:t>
      </w:r>
      <w:r w:rsidR="006B1C0E">
        <w:rPr>
          <w:szCs w:val="20"/>
        </w:rPr>
        <w:t>M</w:t>
      </w:r>
      <w:r w:rsidR="00BA3776" w:rsidRPr="00A2793B">
        <w:rPr>
          <w:szCs w:val="20"/>
        </w:rPr>
        <w:t xml:space="preserve">arket </w:t>
      </w:r>
      <w:r w:rsidR="006B1C0E">
        <w:rPr>
          <w:szCs w:val="20"/>
        </w:rPr>
        <w:t>R</w:t>
      </w:r>
      <w:r w:rsidR="00BA3776" w:rsidRPr="00A2793B">
        <w:rPr>
          <w:szCs w:val="20"/>
        </w:rPr>
        <w:t xml:space="preserve">ent (SAFMR) in place of the FMR in the computation of rents. </w:t>
      </w:r>
      <w:r w:rsidR="004E0980" w:rsidRPr="00A2793B">
        <w:t>To implement this provision, HUD is implementing an alternative requirement to 24 CFR §888.113(h) to permit the use of a SAFMR by project for initial contract rent setting</w:t>
      </w:r>
      <w:r w:rsidR="004E0980">
        <w:t xml:space="preserve">. </w:t>
      </w:r>
    </w:p>
    <w:bookmarkEnd w:id="205"/>
    <w:p w14:paraId="7F57C4FE" w14:textId="7159C99F" w:rsidR="007B41DB" w:rsidRPr="00300D50" w:rsidRDefault="00300D50" w:rsidP="00300D50">
      <w:pPr>
        <w:pStyle w:val="ListParagraph"/>
        <w:tabs>
          <w:tab w:val="left" w:pos="360"/>
        </w:tabs>
        <w:ind w:left="360"/>
        <w:rPr>
          <w:sz w:val="24"/>
          <w:szCs w:val="24"/>
        </w:rPr>
      </w:pPr>
      <w:r>
        <w:rPr>
          <w:sz w:val="24"/>
          <w:szCs w:val="24"/>
        </w:rPr>
        <w:t xml:space="preserve">With HUD approval, </w:t>
      </w:r>
      <w:r w:rsidR="000078CE">
        <w:rPr>
          <w:sz w:val="24"/>
          <w:szCs w:val="24"/>
        </w:rPr>
        <w:t>Project Owner</w:t>
      </w:r>
      <w:r w:rsidR="007B41DB" w:rsidRPr="00BC0847">
        <w:rPr>
          <w:sz w:val="24"/>
          <w:szCs w:val="24"/>
        </w:rPr>
        <w:t xml:space="preserve">s may adjust subsidy across multiple </w:t>
      </w:r>
      <w:r w:rsidR="00887E42">
        <w:rPr>
          <w:sz w:val="24"/>
          <w:szCs w:val="24"/>
        </w:rPr>
        <w:t>P</w:t>
      </w:r>
      <w:r w:rsidR="007B41DB" w:rsidRPr="00BC0847">
        <w:rPr>
          <w:sz w:val="24"/>
          <w:szCs w:val="24"/>
        </w:rPr>
        <w:t xml:space="preserve">rojects </w:t>
      </w:r>
      <w:r>
        <w:rPr>
          <w:sz w:val="24"/>
          <w:szCs w:val="24"/>
        </w:rPr>
        <w:t>in order to modify the</w:t>
      </w:r>
      <w:r w:rsidRPr="00BC0847">
        <w:rPr>
          <w:sz w:val="24"/>
          <w:szCs w:val="24"/>
        </w:rPr>
        <w:t xml:space="preserve"> initial contract rents</w:t>
      </w:r>
      <w:r>
        <w:rPr>
          <w:sz w:val="24"/>
          <w:szCs w:val="24"/>
        </w:rPr>
        <w:t xml:space="preserve"> that would be established in the HAP Contract,</w:t>
      </w:r>
      <w:r w:rsidRPr="00BC0847">
        <w:rPr>
          <w:sz w:val="24"/>
          <w:szCs w:val="24"/>
        </w:rPr>
        <w:t xml:space="preserve"> </w:t>
      </w:r>
      <w:r>
        <w:rPr>
          <w:sz w:val="24"/>
          <w:szCs w:val="24"/>
        </w:rPr>
        <w:t>a</w:t>
      </w:r>
      <w:r w:rsidR="007B41DB" w:rsidRPr="00BC0847">
        <w:rPr>
          <w:sz w:val="24"/>
          <w:szCs w:val="24"/>
        </w:rPr>
        <w:t xml:space="preserve">s long as the </w:t>
      </w:r>
      <w:r w:rsidR="000078CE">
        <w:rPr>
          <w:sz w:val="24"/>
          <w:szCs w:val="24"/>
        </w:rPr>
        <w:t>Project Owner</w:t>
      </w:r>
      <w:r w:rsidR="007B41DB" w:rsidRPr="00BC0847">
        <w:rPr>
          <w:sz w:val="24"/>
          <w:szCs w:val="24"/>
        </w:rPr>
        <w:t xml:space="preserve"> does not exceed the aggregate subsidy for all of the </w:t>
      </w:r>
      <w:r w:rsidR="00887E42">
        <w:rPr>
          <w:sz w:val="24"/>
          <w:szCs w:val="24"/>
        </w:rPr>
        <w:t>P</w:t>
      </w:r>
      <w:r w:rsidR="007B41DB" w:rsidRPr="00BC0847">
        <w:rPr>
          <w:sz w:val="24"/>
          <w:szCs w:val="24"/>
        </w:rPr>
        <w:t xml:space="preserve">rojects the </w:t>
      </w:r>
      <w:r w:rsidR="000078CE">
        <w:rPr>
          <w:sz w:val="24"/>
          <w:szCs w:val="24"/>
        </w:rPr>
        <w:t>Project Owner</w:t>
      </w:r>
      <w:r w:rsidR="007B41DB" w:rsidRPr="00BC0847">
        <w:rPr>
          <w:sz w:val="24"/>
          <w:szCs w:val="24"/>
        </w:rPr>
        <w:t xml:space="preserve"> has submitted for conversion under RAD</w:t>
      </w:r>
      <w:r>
        <w:rPr>
          <w:sz w:val="24"/>
          <w:szCs w:val="24"/>
        </w:rPr>
        <w:t xml:space="preserve"> </w:t>
      </w:r>
      <w:r w:rsidRPr="00300D50">
        <w:rPr>
          <w:sz w:val="24"/>
          <w:szCs w:val="24"/>
        </w:rPr>
        <w:t>and the rents do not exceed 120% of FMR (or Small Area FMR, as applicable)</w:t>
      </w:r>
      <w:r w:rsidR="007B41DB" w:rsidRPr="00BC0847">
        <w:rPr>
          <w:sz w:val="24"/>
          <w:szCs w:val="24"/>
        </w:rPr>
        <w:t xml:space="preserve">. This use, which HUD refers to as “bundled” rents, is permissible when a </w:t>
      </w:r>
      <w:r w:rsidR="000078CE">
        <w:rPr>
          <w:sz w:val="24"/>
          <w:szCs w:val="24"/>
        </w:rPr>
        <w:t>Project Owner</w:t>
      </w:r>
      <w:r w:rsidR="007B41DB" w:rsidRPr="00BC0847">
        <w:rPr>
          <w:sz w:val="24"/>
          <w:szCs w:val="24"/>
        </w:rPr>
        <w:t xml:space="preserve"> submits applications for two or more </w:t>
      </w:r>
      <w:r w:rsidR="00887E42">
        <w:rPr>
          <w:sz w:val="24"/>
          <w:szCs w:val="24"/>
        </w:rPr>
        <w:t>P</w:t>
      </w:r>
      <w:r w:rsidR="007B41DB" w:rsidRPr="00BC0847">
        <w:rPr>
          <w:sz w:val="24"/>
          <w:szCs w:val="24"/>
        </w:rPr>
        <w:t xml:space="preserve">rojects. There is no limit to the number of </w:t>
      </w:r>
      <w:r w:rsidR="00887E42">
        <w:rPr>
          <w:sz w:val="24"/>
          <w:szCs w:val="24"/>
        </w:rPr>
        <w:t>P</w:t>
      </w:r>
      <w:r w:rsidR="007B41DB" w:rsidRPr="00BC0847">
        <w:rPr>
          <w:sz w:val="24"/>
          <w:szCs w:val="24"/>
        </w:rPr>
        <w:t xml:space="preserve">rojects that a </w:t>
      </w:r>
      <w:r w:rsidR="000078CE">
        <w:rPr>
          <w:sz w:val="24"/>
          <w:szCs w:val="24"/>
        </w:rPr>
        <w:t>Project Owner</w:t>
      </w:r>
      <w:r w:rsidR="007B41DB" w:rsidRPr="00BC0847">
        <w:rPr>
          <w:sz w:val="24"/>
          <w:szCs w:val="24"/>
        </w:rPr>
        <w:t xml:space="preserve"> may bundle</w:t>
      </w:r>
      <w:r w:rsidR="00AD131C">
        <w:rPr>
          <w:sz w:val="24"/>
          <w:szCs w:val="24"/>
        </w:rPr>
        <w:t xml:space="preserve">. </w:t>
      </w:r>
      <w:r w:rsidR="007B41DB" w:rsidRPr="00BC0847">
        <w:rPr>
          <w:sz w:val="24"/>
          <w:szCs w:val="24"/>
        </w:rPr>
        <w:t xml:space="preserve">The conversion of the </w:t>
      </w:r>
      <w:r w:rsidR="00312332">
        <w:rPr>
          <w:sz w:val="24"/>
          <w:szCs w:val="24"/>
        </w:rPr>
        <w:t>“</w:t>
      </w:r>
      <w:r w:rsidR="007B41DB" w:rsidRPr="00BC0847">
        <w:rPr>
          <w:sz w:val="24"/>
          <w:szCs w:val="24"/>
        </w:rPr>
        <w:t>donor</w:t>
      </w:r>
      <w:r w:rsidR="00312332">
        <w:rPr>
          <w:sz w:val="24"/>
          <w:szCs w:val="24"/>
        </w:rPr>
        <w:t>”</w:t>
      </w:r>
      <w:r w:rsidR="007B41DB" w:rsidRPr="00BC0847">
        <w:rPr>
          <w:sz w:val="24"/>
          <w:szCs w:val="24"/>
        </w:rPr>
        <w:t xml:space="preserve"> </w:t>
      </w:r>
      <w:r w:rsidR="00887E42">
        <w:rPr>
          <w:sz w:val="24"/>
          <w:szCs w:val="24"/>
        </w:rPr>
        <w:t>P</w:t>
      </w:r>
      <w:r w:rsidR="007B41DB" w:rsidRPr="00BC0847">
        <w:rPr>
          <w:sz w:val="24"/>
          <w:szCs w:val="24"/>
        </w:rPr>
        <w:t>ro</w:t>
      </w:r>
      <w:r w:rsidR="00854092">
        <w:rPr>
          <w:sz w:val="24"/>
          <w:szCs w:val="24"/>
        </w:rPr>
        <w:t>ject</w:t>
      </w:r>
      <w:r w:rsidR="007B41DB" w:rsidRPr="00BC0847">
        <w:rPr>
          <w:sz w:val="24"/>
          <w:szCs w:val="24"/>
        </w:rPr>
        <w:t xml:space="preserve"> must close prior to or simultaneous</w:t>
      </w:r>
      <w:r w:rsidR="00707051">
        <w:rPr>
          <w:sz w:val="24"/>
          <w:szCs w:val="24"/>
        </w:rPr>
        <w:t>ly</w:t>
      </w:r>
      <w:r w:rsidR="007B41DB" w:rsidRPr="00BC0847">
        <w:rPr>
          <w:sz w:val="24"/>
          <w:szCs w:val="24"/>
        </w:rPr>
        <w:t xml:space="preserve"> with the conversion of the </w:t>
      </w:r>
      <w:r w:rsidR="00312332">
        <w:rPr>
          <w:sz w:val="24"/>
          <w:szCs w:val="24"/>
        </w:rPr>
        <w:t>“</w:t>
      </w:r>
      <w:r w:rsidR="007B41DB" w:rsidRPr="00BC0847">
        <w:rPr>
          <w:sz w:val="24"/>
          <w:szCs w:val="24"/>
        </w:rPr>
        <w:t>recipient</w:t>
      </w:r>
      <w:r w:rsidR="00312332">
        <w:rPr>
          <w:sz w:val="24"/>
          <w:szCs w:val="24"/>
        </w:rPr>
        <w:t>”</w:t>
      </w:r>
      <w:r w:rsidR="007B41DB" w:rsidRPr="00BC0847">
        <w:rPr>
          <w:sz w:val="24"/>
          <w:szCs w:val="24"/>
        </w:rPr>
        <w:t xml:space="preserve"> </w:t>
      </w:r>
      <w:r w:rsidR="00887E42">
        <w:rPr>
          <w:sz w:val="24"/>
          <w:szCs w:val="24"/>
        </w:rPr>
        <w:t>P</w:t>
      </w:r>
      <w:r w:rsidR="007B41DB" w:rsidRPr="00BC0847">
        <w:rPr>
          <w:sz w:val="24"/>
          <w:szCs w:val="24"/>
        </w:rPr>
        <w:t>ro</w:t>
      </w:r>
      <w:r w:rsidR="00854092">
        <w:rPr>
          <w:sz w:val="24"/>
          <w:szCs w:val="24"/>
        </w:rPr>
        <w:t>ject</w:t>
      </w:r>
      <w:r w:rsidR="007B41DB" w:rsidRPr="00BC0847">
        <w:rPr>
          <w:sz w:val="24"/>
          <w:szCs w:val="24"/>
        </w:rPr>
        <w:t>.</w:t>
      </w:r>
      <w:r>
        <w:rPr>
          <w:sz w:val="24"/>
          <w:szCs w:val="24"/>
        </w:rPr>
        <w:t xml:space="preserve"> </w:t>
      </w:r>
      <w:r w:rsidR="007B41DB" w:rsidRPr="00300D50">
        <w:rPr>
          <w:sz w:val="24"/>
          <w:szCs w:val="24"/>
        </w:rPr>
        <w:t xml:space="preserve">For example, assume that a </w:t>
      </w:r>
      <w:r w:rsidR="000078CE">
        <w:rPr>
          <w:sz w:val="24"/>
          <w:szCs w:val="24"/>
        </w:rPr>
        <w:t>Project Owner</w:t>
      </w:r>
      <w:r w:rsidR="007B41DB" w:rsidRPr="00300D50">
        <w:rPr>
          <w:sz w:val="24"/>
          <w:szCs w:val="24"/>
        </w:rPr>
        <w:t xml:space="preserve"> is considering bundling two identical </w:t>
      </w:r>
      <w:r w:rsidR="00887E42" w:rsidRPr="00300D50">
        <w:rPr>
          <w:sz w:val="24"/>
          <w:szCs w:val="24"/>
        </w:rPr>
        <w:t>P</w:t>
      </w:r>
      <w:r w:rsidR="007B41DB" w:rsidRPr="00300D50">
        <w:rPr>
          <w:sz w:val="24"/>
          <w:szCs w:val="24"/>
        </w:rPr>
        <w:t xml:space="preserve">rojects, both consisting of 100 units. In Project A, the contract rent is $500; and in Project B, the contract rent is $600. The </w:t>
      </w:r>
      <w:r w:rsidR="000078CE">
        <w:rPr>
          <w:sz w:val="24"/>
          <w:szCs w:val="24"/>
        </w:rPr>
        <w:t>Project Owner</w:t>
      </w:r>
      <w:r w:rsidR="007B41DB" w:rsidRPr="00300D50">
        <w:rPr>
          <w:sz w:val="24"/>
          <w:szCs w:val="24"/>
        </w:rPr>
        <w:t xml:space="preserve"> could bundle the two projects such that the initial contract rents for both </w:t>
      </w:r>
      <w:r w:rsidR="00887E42" w:rsidRPr="00300D50">
        <w:rPr>
          <w:sz w:val="24"/>
          <w:szCs w:val="24"/>
        </w:rPr>
        <w:t>P</w:t>
      </w:r>
      <w:r w:rsidR="007B41DB" w:rsidRPr="00300D50">
        <w:rPr>
          <w:sz w:val="24"/>
          <w:szCs w:val="24"/>
        </w:rPr>
        <w:t>rojects will be $550.</w:t>
      </w:r>
    </w:p>
    <w:p w14:paraId="7F57C4FF" w14:textId="77777777" w:rsidR="00A14DCD" w:rsidRPr="00077064" w:rsidRDefault="00A14DCD" w:rsidP="00A14DCD">
      <w:pPr>
        <w:spacing w:after="12"/>
        <w:rPr>
          <w:szCs w:val="24"/>
        </w:rPr>
      </w:pPr>
    </w:p>
    <w:p w14:paraId="7F57C500" w14:textId="18C5F140" w:rsidR="00A14DCD" w:rsidRDefault="00A14DCD" w:rsidP="00794828">
      <w:pPr>
        <w:numPr>
          <w:ilvl w:val="0"/>
          <w:numId w:val="13"/>
        </w:numPr>
        <w:spacing w:after="12"/>
        <w:ind w:left="360"/>
        <w:rPr>
          <w:szCs w:val="24"/>
        </w:rPr>
      </w:pPr>
      <w:r w:rsidRPr="00E60208">
        <w:rPr>
          <w:b/>
          <w:szCs w:val="24"/>
        </w:rPr>
        <w:t>Method of Adjusting Contract Rents.</w:t>
      </w:r>
      <w:r w:rsidRPr="00E60208">
        <w:rPr>
          <w:szCs w:val="24"/>
        </w:rPr>
        <w:t xml:space="preserve"> Contract rents will be adjusted by </w:t>
      </w:r>
      <w:r w:rsidR="00312332">
        <w:rPr>
          <w:szCs w:val="24"/>
        </w:rPr>
        <w:t xml:space="preserve">an </w:t>
      </w:r>
      <w:r w:rsidRPr="00E60208">
        <w:rPr>
          <w:szCs w:val="24"/>
        </w:rPr>
        <w:t xml:space="preserve">OCAF at each </w:t>
      </w:r>
      <w:r w:rsidR="00043235" w:rsidRPr="00E60208">
        <w:rPr>
          <w:szCs w:val="24"/>
        </w:rPr>
        <w:t>a</w:t>
      </w:r>
      <w:r w:rsidRPr="00E60208">
        <w:rPr>
          <w:szCs w:val="24"/>
        </w:rPr>
        <w:t xml:space="preserve">nniversary of the HAP Contract, subject to </w:t>
      </w:r>
      <w:r w:rsidR="007821CE">
        <w:rPr>
          <w:szCs w:val="24"/>
        </w:rPr>
        <w:t xml:space="preserve">(a) </w:t>
      </w:r>
      <w:r w:rsidRPr="00E60208">
        <w:rPr>
          <w:szCs w:val="24"/>
        </w:rPr>
        <w:t>the availability of appropriations for each year of the initial term of the HAP Contract</w:t>
      </w:r>
      <w:r w:rsidR="007821CE">
        <w:rPr>
          <w:szCs w:val="24"/>
        </w:rPr>
        <w:t>, and (b) the Maximum Rent, as defined below</w:t>
      </w:r>
      <w:r w:rsidR="00AD131C" w:rsidRPr="00E60208">
        <w:rPr>
          <w:szCs w:val="24"/>
        </w:rPr>
        <w:t xml:space="preserve">. </w:t>
      </w:r>
    </w:p>
    <w:p w14:paraId="144EC47D" w14:textId="77777777" w:rsidR="00C01492" w:rsidRDefault="00C01492" w:rsidP="00C01492">
      <w:pPr>
        <w:spacing w:after="12"/>
        <w:ind w:left="360"/>
        <w:rPr>
          <w:szCs w:val="24"/>
        </w:rPr>
      </w:pPr>
    </w:p>
    <w:p w14:paraId="5E994361" w14:textId="7ADF9D2A" w:rsidR="00C01492" w:rsidRDefault="00C01492" w:rsidP="00C01492">
      <w:pPr>
        <w:spacing w:after="12"/>
        <w:ind w:left="360"/>
        <w:rPr>
          <w:szCs w:val="24"/>
        </w:rPr>
      </w:pPr>
      <w:r>
        <w:rPr>
          <w:szCs w:val="24"/>
        </w:rPr>
        <w:t>The Maximum Rent is the higher of 120% of FMR o</w:t>
      </w:r>
      <w:r w:rsidR="00D3733D">
        <w:rPr>
          <w:szCs w:val="24"/>
        </w:rPr>
        <w:t>r</w:t>
      </w:r>
      <w:r>
        <w:rPr>
          <w:szCs w:val="24"/>
        </w:rPr>
        <w:t xml:space="preserve"> Small Area FMR (less utility allowances) or the market rents, as demonstrated by an RCS procured and paid for by the Project Owner. Where an RCS has been used to justify an OCAF adjusted rent that exceeds 120% of the FMR, the RCS will remain valid for five years, the Maximum Rent will not apply for the next four annual rent adjustments, and rents will be adjusted only by the OCAF. The applicable FMR used for SRO units shall be the zero</w:t>
      </w:r>
      <w:r w:rsidR="00D3733D">
        <w:rPr>
          <w:szCs w:val="24"/>
        </w:rPr>
        <w:t>-</w:t>
      </w:r>
      <w:r>
        <w:rPr>
          <w:szCs w:val="24"/>
        </w:rPr>
        <w:t>bedroom (efficiency) FMR. Further, where HUD has approved the use of Small Area FMR by project, the Small Area FMR will continue to serve as the applicable FMR when determining the rent cap.</w:t>
      </w:r>
    </w:p>
    <w:p w14:paraId="2D1FFF91" w14:textId="77777777" w:rsidR="00C01492" w:rsidRPr="00E60208" w:rsidRDefault="00C01492" w:rsidP="00C01492">
      <w:pPr>
        <w:spacing w:after="12"/>
        <w:ind w:left="360"/>
        <w:rPr>
          <w:szCs w:val="24"/>
        </w:rPr>
      </w:pPr>
    </w:p>
    <w:p w14:paraId="7F57C502" w14:textId="0850A8FA" w:rsidR="00A14DCD" w:rsidRPr="00077064" w:rsidRDefault="00A14DCD" w:rsidP="00794828">
      <w:pPr>
        <w:numPr>
          <w:ilvl w:val="0"/>
          <w:numId w:val="13"/>
        </w:numPr>
        <w:spacing w:after="12"/>
        <w:ind w:left="360"/>
        <w:rPr>
          <w:bCs/>
          <w:szCs w:val="24"/>
        </w:rPr>
      </w:pPr>
      <w:r w:rsidRPr="00077064">
        <w:rPr>
          <w:b/>
          <w:bCs/>
          <w:szCs w:val="24"/>
        </w:rPr>
        <w:t>Distributions.</w:t>
      </w:r>
      <w:r w:rsidRPr="00077064">
        <w:rPr>
          <w:bCs/>
          <w:szCs w:val="24"/>
        </w:rPr>
        <w:t xml:space="preserve"> Covered Projects will not be subject to any limitation on distributions, contingent on the availability of surplus cash as determined by year-end audited or certified financial statements. To implement this provision, HUD will not apply 24 CFR § 880.205, which, among other provisions, establishes certain limitations on distributions for profit-motivated </w:t>
      </w:r>
      <w:r w:rsidR="000078CE">
        <w:rPr>
          <w:bCs/>
          <w:szCs w:val="24"/>
        </w:rPr>
        <w:t>o</w:t>
      </w:r>
      <w:r w:rsidR="00CA79EC">
        <w:rPr>
          <w:bCs/>
          <w:szCs w:val="24"/>
        </w:rPr>
        <w:t>wner</w:t>
      </w:r>
      <w:r w:rsidRPr="00077064">
        <w:rPr>
          <w:bCs/>
          <w:szCs w:val="24"/>
        </w:rPr>
        <w:t xml:space="preserve">s and authorizes HUD to require not-for-profit and certain for-profit </w:t>
      </w:r>
      <w:r w:rsidR="000078CE">
        <w:rPr>
          <w:bCs/>
          <w:szCs w:val="24"/>
        </w:rPr>
        <w:t>o</w:t>
      </w:r>
      <w:r w:rsidR="00CA79EC">
        <w:rPr>
          <w:bCs/>
          <w:szCs w:val="24"/>
        </w:rPr>
        <w:t>wner</w:t>
      </w:r>
      <w:r w:rsidRPr="00077064">
        <w:rPr>
          <w:bCs/>
          <w:szCs w:val="24"/>
        </w:rPr>
        <w:t>s to establish a residual receipts account.</w:t>
      </w:r>
      <w:r w:rsidR="00C11543">
        <w:rPr>
          <w:bCs/>
          <w:szCs w:val="24"/>
        </w:rPr>
        <w:t xml:space="preserve"> As an alternative requirement, </w:t>
      </w:r>
      <w:r w:rsidR="004D3594">
        <w:rPr>
          <w:bCs/>
          <w:szCs w:val="24"/>
        </w:rPr>
        <w:t xml:space="preserve">in addition to standard PBRA requirements that must be satisfied prior to calculating surplus cash, </w:t>
      </w:r>
      <w:r w:rsidR="00E176EF">
        <w:rPr>
          <w:bCs/>
          <w:szCs w:val="24"/>
        </w:rPr>
        <w:t xml:space="preserve">distribution of surplus cash </w:t>
      </w:r>
      <w:r w:rsidR="00423590">
        <w:rPr>
          <w:bCs/>
          <w:szCs w:val="24"/>
        </w:rPr>
        <w:t xml:space="preserve">is prohibited unless </w:t>
      </w:r>
      <w:r w:rsidR="00C11543">
        <w:rPr>
          <w:bCs/>
          <w:szCs w:val="24"/>
        </w:rPr>
        <w:t xml:space="preserve">HUD </w:t>
      </w:r>
      <w:r w:rsidR="00423590">
        <w:rPr>
          <w:bCs/>
          <w:szCs w:val="24"/>
        </w:rPr>
        <w:t xml:space="preserve">is able to </w:t>
      </w:r>
      <w:r w:rsidR="00C11543">
        <w:rPr>
          <w:bCs/>
          <w:szCs w:val="24"/>
        </w:rPr>
        <w:t xml:space="preserve">verify on the annual financial statement that the Project Operating Reserve is funded at no less than $250 per unit. </w:t>
      </w:r>
    </w:p>
    <w:p w14:paraId="7F57C503" w14:textId="77777777" w:rsidR="00A14DCD" w:rsidRPr="00077064" w:rsidRDefault="00A14DCD" w:rsidP="00A14DCD">
      <w:pPr>
        <w:ind w:left="720"/>
        <w:contextualSpacing/>
        <w:rPr>
          <w:bCs/>
          <w:szCs w:val="24"/>
        </w:rPr>
      </w:pPr>
    </w:p>
    <w:p w14:paraId="7F57C504" w14:textId="3F8A984D" w:rsidR="00A14DCD" w:rsidRDefault="00E366FF" w:rsidP="00794828">
      <w:pPr>
        <w:numPr>
          <w:ilvl w:val="0"/>
          <w:numId w:val="13"/>
        </w:numPr>
        <w:spacing w:after="12"/>
        <w:ind w:left="360"/>
        <w:rPr>
          <w:szCs w:val="24"/>
        </w:rPr>
      </w:pPr>
      <w:r w:rsidRPr="00DE252A">
        <w:rPr>
          <w:b/>
          <w:bCs/>
          <w:szCs w:val="24"/>
        </w:rPr>
        <w:t xml:space="preserve">No Rescreening </w:t>
      </w:r>
      <w:r w:rsidR="00A14DCD" w:rsidRPr="00DE252A">
        <w:rPr>
          <w:b/>
          <w:bCs/>
          <w:szCs w:val="24"/>
        </w:rPr>
        <w:t xml:space="preserve">of </w:t>
      </w:r>
      <w:r w:rsidRPr="00DE252A">
        <w:rPr>
          <w:b/>
          <w:bCs/>
          <w:szCs w:val="24"/>
        </w:rPr>
        <w:t>Tenants upon C</w:t>
      </w:r>
      <w:r w:rsidR="00A14DCD" w:rsidRPr="00DE252A">
        <w:rPr>
          <w:b/>
          <w:bCs/>
          <w:szCs w:val="24"/>
        </w:rPr>
        <w:t>onversion.</w:t>
      </w:r>
      <w:r w:rsidR="00A14DCD" w:rsidRPr="00DE252A">
        <w:rPr>
          <w:szCs w:val="24"/>
        </w:rPr>
        <w:t xml:space="preserve"> </w:t>
      </w:r>
      <w:r w:rsidR="00812351" w:rsidRPr="00DE252A">
        <w:rPr>
          <w:szCs w:val="24"/>
        </w:rPr>
        <w:t>Pursuant to the RAD Statute, at</w:t>
      </w:r>
      <w:r w:rsidR="00812351" w:rsidRPr="00DE252A">
        <w:rPr>
          <w:b/>
          <w:szCs w:val="24"/>
        </w:rPr>
        <w:t xml:space="preserve"> </w:t>
      </w:r>
      <w:r w:rsidR="00812351" w:rsidRPr="00DE252A">
        <w:rPr>
          <w:szCs w:val="24"/>
        </w:rPr>
        <w:t>conversion, current households cannot be excluded from occupancy at the Covered Project based on any rescreening, income eligibility, or income targeting</w:t>
      </w:r>
      <w:r w:rsidR="00AD131C">
        <w:rPr>
          <w:szCs w:val="24"/>
        </w:rPr>
        <w:t xml:space="preserve">. </w:t>
      </w:r>
      <w:r w:rsidR="00812351" w:rsidRPr="00DE252A">
        <w:rPr>
          <w:szCs w:val="24"/>
        </w:rPr>
        <w:t>With respect to occupancy in the Covered Project, current households in the Converting Project will be grandfathered for application of any eligibility criteria to conditions that occurred prior to conversion but will be subject to any ongoing eligibility requirements for actions that occur after conversion.</w:t>
      </w:r>
      <w:r w:rsidR="00812351" w:rsidRPr="00E366FF">
        <w:rPr>
          <w:szCs w:val="24"/>
          <w:vertAlign w:val="superscript"/>
        </w:rPr>
        <w:footnoteReference w:id="17"/>
      </w:r>
      <w:r w:rsidR="00812351" w:rsidRPr="00DE252A">
        <w:rPr>
          <w:szCs w:val="24"/>
        </w:rPr>
        <w:t xml:space="preserve"> Post-conversion, the tenure of all residents of the Covered Project is protected pursuant to PB</w:t>
      </w:r>
      <w:r w:rsidR="00DE252A" w:rsidRPr="00DE252A">
        <w:rPr>
          <w:szCs w:val="24"/>
        </w:rPr>
        <w:t>RA</w:t>
      </w:r>
      <w:r w:rsidR="00812351" w:rsidRPr="00DE252A">
        <w:rPr>
          <w:szCs w:val="24"/>
        </w:rPr>
        <w:t xml:space="preserve"> requirements regarding continued occupancy</w:t>
      </w:r>
      <w:r w:rsidR="00AD131C">
        <w:rPr>
          <w:szCs w:val="24"/>
        </w:rPr>
        <w:t xml:space="preserve">. </w:t>
      </w:r>
      <w:r w:rsidR="00812351" w:rsidRPr="00DE252A">
        <w:rPr>
          <w:szCs w:val="24"/>
        </w:rPr>
        <w:t>For example, a household</w:t>
      </w:r>
      <w:r w:rsidR="00E26869">
        <w:rPr>
          <w:szCs w:val="24"/>
        </w:rPr>
        <w:t xml:space="preserve"> that would not be income eligible for initial occupancy of a Section 8 unit at the time of conversion would still be placed on a Section 8 lease and eligible for assistance under the provisions governing continued occupancy</w:t>
      </w:r>
      <w:r w:rsidR="00AD131C">
        <w:rPr>
          <w:szCs w:val="24"/>
        </w:rPr>
        <w:t xml:space="preserve">. </w:t>
      </w:r>
      <w:r w:rsidR="00DE252A" w:rsidRPr="00077064">
        <w:rPr>
          <w:szCs w:val="24"/>
        </w:rPr>
        <w:t>Thus, the first clause of section 8(c)(4) of the Act and 24 CFR § 880.603(b), concerning determination of eligibility and selection of tenants for initial occupancy, will not apply for current households. Once the grandfathered household moves out, the unit must be leased to an eligible family</w:t>
      </w:r>
      <w:r w:rsidR="00AD131C">
        <w:rPr>
          <w:szCs w:val="24"/>
        </w:rPr>
        <w:t xml:space="preserve">. </w:t>
      </w:r>
      <w:r w:rsidR="00E26869">
        <w:rPr>
          <w:szCs w:val="24"/>
        </w:rPr>
        <w:t xml:space="preserve">Income eligibility requirements associated with new sources of financing, such as </w:t>
      </w:r>
      <w:r w:rsidR="00707051">
        <w:rPr>
          <w:szCs w:val="24"/>
        </w:rPr>
        <w:t>L</w:t>
      </w:r>
      <w:r w:rsidR="00E26869">
        <w:rPr>
          <w:szCs w:val="24"/>
        </w:rPr>
        <w:t>ow</w:t>
      </w:r>
      <w:r w:rsidR="002136CE">
        <w:rPr>
          <w:szCs w:val="24"/>
        </w:rPr>
        <w:t>-</w:t>
      </w:r>
      <w:r w:rsidR="00707051">
        <w:rPr>
          <w:szCs w:val="24"/>
        </w:rPr>
        <w:t>I</w:t>
      </w:r>
      <w:r w:rsidR="00E26869">
        <w:rPr>
          <w:szCs w:val="24"/>
        </w:rPr>
        <w:t xml:space="preserve">ncome </w:t>
      </w:r>
      <w:r w:rsidR="00707051">
        <w:rPr>
          <w:szCs w:val="24"/>
        </w:rPr>
        <w:t>H</w:t>
      </w:r>
      <w:r w:rsidR="00E26869">
        <w:rPr>
          <w:szCs w:val="24"/>
        </w:rPr>
        <w:t xml:space="preserve">ousing </w:t>
      </w:r>
      <w:r w:rsidR="00707051">
        <w:rPr>
          <w:szCs w:val="24"/>
        </w:rPr>
        <w:t>T</w:t>
      </w:r>
      <w:r w:rsidR="00E26869">
        <w:rPr>
          <w:szCs w:val="24"/>
        </w:rPr>
        <w:t xml:space="preserve">ax </w:t>
      </w:r>
      <w:r w:rsidR="00707051">
        <w:rPr>
          <w:szCs w:val="24"/>
        </w:rPr>
        <w:t>C</w:t>
      </w:r>
      <w:r w:rsidR="00E26869">
        <w:rPr>
          <w:szCs w:val="24"/>
        </w:rPr>
        <w:t>redits, do not supersede this prohibition on rescreening</w:t>
      </w:r>
      <w:r w:rsidR="002136CE">
        <w:rPr>
          <w:szCs w:val="24"/>
        </w:rPr>
        <w:t>,</w:t>
      </w:r>
      <w:r w:rsidR="00E26869">
        <w:rPr>
          <w:szCs w:val="24"/>
        </w:rPr>
        <w:t xml:space="preserve"> and the </w:t>
      </w:r>
      <w:r w:rsidR="000078CE">
        <w:rPr>
          <w:szCs w:val="24"/>
        </w:rPr>
        <w:t>Project Owner</w:t>
      </w:r>
      <w:r w:rsidR="00E26869">
        <w:rPr>
          <w:szCs w:val="24"/>
        </w:rPr>
        <w:t xml:space="preserve"> may </w:t>
      </w:r>
      <w:r w:rsidR="002136CE">
        <w:rPr>
          <w:szCs w:val="24"/>
        </w:rPr>
        <w:t xml:space="preserve">be required </w:t>
      </w:r>
      <w:r w:rsidR="00E26869">
        <w:rPr>
          <w:szCs w:val="24"/>
        </w:rPr>
        <w:t xml:space="preserve">to exclude </w:t>
      </w:r>
      <w:r w:rsidR="002136CE">
        <w:rPr>
          <w:szCs w:val="24"/>
        </w:rPr>
        <w:t xml:space="preserve">Section 8 </w:t>
      </w:r>
      <w:r w:rsidR="00E26869">
        <w:rPr>
          <w:szCs w:val="24"/>
        </w:rPr>
        <w:t>units occupied by ineligible households from being covered by the new financing’s restrictions.</w:t>
      </w:r>
    </w:p>
    <w:p w14:paraId="47C62EF1" w14:textId="77777777" w:rsidR="00300D50" w:rsidRDefault="00300D50" w:rsidP="00300D50">
      <w:pPr>
        <w:rPr>
          <w:b/>
          <w:szCs w:val="24"/>
        </w:rPr>
      </w:pPr>
      <w:bookmarkStart w:id="206" w:name="_Hlk526863685"/>
    </w:p>
    <w:p w14:paraId="3093AA2D" w14:textId="39F32924" w:rsidR="005046E1" w:rsidRPr="00D24C3F" w:rsidRDefault="00A14DCD" w:rsidP="00794828">
      <w:pPr>
        <w:numPr>
          <w:ilvl w:val="0"/>
          <w:numId w:val="13"/>
        </w:numPr>
        <w:spacing w:after="12"/>
        <w:ind w:left="360"/>
        <w:contextualSpacing/>
        <w:rPr>
          <w:b/>
          <w:u w:val="single"/>
        </w:rPr>
      </w:pPr>
      <w:r w:rsidRPr="00300D50">
        <w:rPr>
          <w:b/>
          <w:szCs w:val="24"/>
        </w:rPr>
        <w:t>Under-</w:t>
      </w:r>
      <w:r w:rsidR="00714FCF">
        <w:rPr>
          <w:b/>
          <w:szCs w:val="24"/>
        </w:rPr>
        <w:t>O</w:t>
      </w:r>
      <w:r w:rsidRPr="00300D50">
        <w:rPr>
          <w:b/>
          <w:szCs w:val="24"/>
        </w:rPr>
        <w:t>ccupied Units.</w:t>
      </w:r>
      <w:r w:rsidRPr="00300D50">
        <w:rPr>
          <w:b/>
        </w:rPr>
        <w:t xml:space="preserve"> </w:t>
      </w:r>
      <w:r w:rsidR="00FC6CD1" w:rsidRPr="00300D50">
        <w:rPr>
          <w:szCs w:val="24"/>
        </w:rPr>
        <w:t xml:space="preserve">If at the time of conversion, an eligible family assisted under the </w:t>
      </w:r>
      <w:r w:rsidR="006B1C0E" w:rsidRPr="00300D50">
        <w:rPr>
          <w:szCs w:val="24"/>
        </w:rPr>
        <w:t xml:space="preserve">PRAC </w:t>
      </w:r>
      <w:r w:rsidR="00FC6CD1" w:rsidRPr="00300D50">
        <w:rPr>
          <w:szCs w:val="24"/>
        </w:rPr>
        <w:t>is occupying a unit that is larger than appropriate because of the family’s composition, the family may remain in the unit until an appropriate-sized unit becomes available in the Covered Project.</w:t>
      </w:r>
      <w:r w:rsidR="00714FCF">
        <w:rPr>
          <w:rStyle w:val="FootnoteReference"/>
          <w:szCs w:val="24"/>
        </w:rPr>
        <w:footnoteReference w:id="18"/>
      </w:r>
      <w:r w:rsidR="00FC6CD1" w:rsidRPr="00300D50">
        <w:rPr>
          <w:szCs w:val="24"/>
        </w:rPr>
        <w:t xml:space="preserve"> When an appropriate sized unit becomes available in the Covered Project, the family living in the under-occupied unit must move to the appropriate-sized within a reasonable period of time. In order to allow the family to remain in the under-occupied unit until an appropriate</w:t>
      </w:r>
      <w:r w:rsidR="00714FCF">
        <w:rPr>
          <w:szCs w:val="24"/>
        </w:rPr>
        <w:t>-</w:t>
      </w:r>
      <w:r w:rsidR="00FC6CD1" w:rsidRPr="00300D50">
        <w:rPr>
          <w:szCs w:val="24"/>
        </w:rPr>
        <w:t>sized unit becomes available in the Covered Project, HUD is waiving the portion of 24 CFR § 880.605 that assumes the unit has become under-occupied as the result of a change in family size.</w:t>
      </w:r>
      <w:bookmarkEnd w:id="206"/>
      <w:r w:rsidR="0007108E">
        <w:rPr>
          <w:rStyle w:val="FootnoteReference"/>
          <w:szCs w:val="24"/>
        </w:rPr>
        <w:footnoteReference w:id="19"/>
      </w:r>
    </w:p>
    <w:p w14:paraId="5051EC0B" w14:textId="77777777" w:rsidR="00D24C3F" w:rsidRDefault="00D24C3F" w:rsidP="00D24C3F">
      <w:pPr>
        <w:spacing w:after="12"/>
        <w:contextualSpacing/>
        <w:rPr>
          <w:b/>
          <w:u w:val="single"/>
        </w:rPr>
      </w:pPr>
    </w:p>
    <w:p w14:paraId="7F57C507" w14:textId="2CA8EE8D" w:rsidR="00A14DCD" w:rsidRDefault="005046E1" w:rsidP="00D57E21">
      <w:pPr>
        <w:numPr>
          <w:ilvl w:val="0"/>
          <w:numId w:val="13"/>
        </w:numPr>
        <w:spacing w:after="12"/>
        <w:contextualSpacing/>
        <w:rPr>
          <w:szCs w:val="24"/>
        </w:rPr>
      </w:pPr>
      <w:r w:rsidRPr="00531525">
        <w:rPr>
          <w:b/>
          <w:szCs w:val="24"/>
        </w:rPr>
        <w:t>Occupancy Requirements</w:t>
      </w:r>
      <w:r w:rsidR="0043258D">
        <w:rPr>
          <w:b/>
          <w:szCs w:val="24"/>
        </w:rPr>
        <w:t xml:space="preserve">. </w:t>
      </w:r>
      <w:r w:rsidR="00160840" w:rsidRPr="00160840">
        <w:rPr>
          <w:szCs w:val="24"/>
        </w:rPr>
        <w:t xml:space="preserve">In accordance with the RAD statute, as amended by the </w:t>
      </w:r>
      <w:r w:rsidR="00D57E21" w:rsidRPr="00D57E21">
        <w:rPr>
          <w:szCs w:val="24"/>
        </w:rPr>
        <w:t>Consolidated Appropriations Act, 2018 (Pub. L. No. 115-141)</w:t>
      </w:r>
      <w:r w:rsidR="00160840" w:rsidRPr="00160840">
        <w:rPr>
          <w:szCs w:val="24"/>
        </w:rPr>
        <w:t>, Section 202 PRAC projects converting assistance under RAD must continue to serve elderly persons as defined in Section 202(k) of the Housing Act of 1959.</w:t>
      </w:r>
      <w:r w:rsidR="00160840" w:rsidRPr="00160840">
        <w:rPr>
          <w:rStyle w:val="FootnoteReference"/>
          <w:szCs w:val="24"/>
        </w:rPr>
        <w:t xml:space="preserve"> </w:t>
      </w:r>
      <w:r w:rsidR="00160840">
        <w:rPr>
          <w:rStyle w:val="FootnoteReference"/>
          <w:szCs w:val="24"/>
        </w:rPr>
        <w:footnoteReference w:id="20"/>
      </w:r>
      <w:r w:rsidR="00160840">
        <w:rPr>
          <w:szCs w:val="24"/>
        </w:rPr>
        <w:t xml:space="preserve"> N</w:t>
      </w:r>
      <w:r w:rsidRPr="005046E1">
        <w:rPr>
          <w:szCs w:val="24"/>
        </w:rPr>
        <w:t>ew ad</w:t>
      </w:r>
      <w:r w:rsidR="00160840">
        <w:rPr>
          <w:szCs w:val="24"/>
        </w:rPr>
        <w:t>missions</w:t>
      </w:r>
      <w:r w:rsidRPr="00C569F1">
        <w:rPr>
          <w:szCs w:val="24"/>
        </w:rPr>
        <w:t xml:space="preserve"> must meet the income requirements in 24 CFR 5.653(d)(2). Existing residents will be grandfathered in and are not subject to re-screening for income and occupancy eligibility.</w:t>
      </w:r>
    </w:p>
    <w:p w14:paraId="18E378C0" w14:textId="77777777" w:rsidR="0007108E" w:rsidRPr="005046E1" w:rsidRDefault="0007108E" w:rsidP="0007108E">
      <w:pPr>
        <w:spacing w:after="12"/>
        <w:ind w:left="360"/>
        <w:contextualSpacing/>
        <w:rPr>
          <w:szCs w:val="24"/>
        </w:rPr>
      </w:pPr>
    </w:p>
    <w:p w14:paraId="7F57C508" w14:textId="28425CBD" w:rsidR="00A14DCD" w:rsidRPr="003337D3" w:rsidRDefault="00043235" w:rsidP="00794828">
      <w:pPr>
        <w:numPr>
          <w:ilvl w:val="0"/>
          <w:numId w:val="13"/>
        </w:numPr>
        <w:spacing w:after="12"/>
        <w:ind w:left="360"/>
        <w:rPr>
          <w:b/>
          <w:szCs w:val="24"/>
          <w:u w:val="single"/>
        </w:rPr>
      </w:pPr>
      <w:r w:rsidRPr="003337D3">
        <w:rPr>
          <w:b/>
          <w:szCs w:val="24"/>
        </w:rPr>
        <w:t xml:space="preserve">UPCS (REAC) </w:t>
      </w:r>
      <w:r w:rsidR="00A14DCD" w:rsidRPr="003337D3">
        <w:rPr>
          <w:b/>
          <w:szCs w:val="24"/>
        </w:rPr>
        <w:t>Inspection</w:t>
      </w:r>
      <w:r w:rsidRPr="003337D3">
        <w:rPr>
          <w:b/>
          <w:szCs w:val="24"/>
        </w:rPr>
        <w:t>s</w:t>
      </w:r>
      <w:r w:rsidR="00A14DCD" w:rsidRPr="003337D3">
        <w:rPr>
          <w:b/>
          <w:szCs w:val="24"/>
        </w:rPr>
        <w:t xml:space="preserve">. </w:t>
      </w:r>
      <w:r w:rsidRPr="003337D3">
        <w:rPr>
          <w:szCs w:val="24"/>
        </w:rPr>
        <w:t xml:space="preserve">Under current regulations at 24 CFR part 5, subpart G, a unit covered under a PBRA HAP Contract must meet the UPCS before assistance can be paid on behalf of a household. Under RAD, </w:t>
      </w:r>
      <w:r w:rsidR="003337D3" w:rsidRPr="00077064">
        <w:rPr>
          <w:szCs w:val="24"/>
        </w:rPr>
        <w:t>only after the PBRA HAP Contract is executed</w:t>
      </w:r>
      <w:r w:rsidR="003337D3">
        <w:rPr>
          <w:szCs w:val="24"/>
        </w:rPr>
        <w:t xml:space="preserve"> and any proposed Work is completed</w:t>
      </w:r>
      <w:r w:rsidR="003337D3" w:rsidRPr="00077064">
        <w:rPr>
          <w:szCs w:val="24"/>
        </w:rPr>
        <w:t xml:space="preserve">, HUD will order a REAC inspection of the </w:t>
      </w:r>
      <w:r w:rsidR="00887E42">
        <w:rPr>
          <w:szCs w:val="24"/>
        </w:rPr>
        <w:t>P</w:t>
      </w:r>
      <w:r w:rsidR="003337D3" w:rsidRPr="00077064">
        <w:rPr>
          <w:szCs w:val="24"/>
        </w:rPr>
        <w:t xml:space="preserve">roject to ensure conditions meet the UPCS. HUD is waiving and establishing this alternative requirement to 24 CFR </w:t>
      </w:r>
      <w:r w:rsidR="00536767">
        <w:rPr>
          <w:szCs w:val="24"/>
        </w:rPr>
        <w:t>p</w:t>
      </w:r>
      <w:r w:rsidR="003337D3" w:rsidRPr="00077064">
        <w:rPr>
          <w:szCs w:val="24"/>
        </w:rPr>
        <w:t xml:space="preserve">art 5 </w:t>
      </w:r>
      <w:r w:rsidR="00536767">
        <w:rPr>
          <w:szCs w:val="24"/>
        </w:rPr>
        <w:t>s</w:t>
      </w:r>
      <w:r w:rsidR="003337D3" w:rsidRPr="00077064">
        <w:rPr>
          <w:szCs w:val="24"/>
        </w:rPr>
        <w:t>ubpart G.</w:t>
      </w:r>
    </w:p>
    <w:p w14:paraId="7F57C509" w14:textId="77777777" w:rsidR="003337D3" w:rsidRPr="003337D3" w:rsidRDefault="003337D3" w:rsidP="003337D3">
      <w:pPr>
        <w:spacing w:after="12"/>
        <w:ind w:left="360"/>
        <w:rPr>
          <w:b/>
          <w:szCs w:val="24"/>
          <w:u w:val="single"/>
        </w:rPr>
      </w:pPr>
    </w:p>
    <w:p w14:paraId="7F57C50A" w14:textId="77777777" w:rsidR="00A14DCD" w:rsidRPr="00077064" w:rsidRDefault="00A14DCD" w:rsidP="00A14DCD">
      <w:pPr>
        <w:spacing w:after="12"/>
        <w:rPr>
          <w:szCs w:val="24"/>
        </w:rPr>
      </w:pPr>
    </w:p>
    <w:p w14:paraId="7F57C50B" w14:textId="14EC9069" w:rsidR="00A14DCD" w:rsidRDefault="00A14DCD" w:rsidP="00794828">
      <w:pPr>
        <w:keepNext/>
        <w:keepLines/>
        <w:numPr>
          <w:ilvl w:val="1"/>
          <w:numId w:val="21"/>
        </w:numPr>
        <w:spacing w:after="12"/>
        <w:ind w:left="1440" w:hanging="450"/>
        <w:outlineLvl w:val="1"/>
        <w:rPr>
          <w:rFonts w:eastAsia="Times New Roman"/>
          <w:b/>
          <w:bCs/>
          <w:szCs w:val="24"/>
          <w:u w:val="single"/>
        </w:rPr>
      </w:pPr>
      <w:bookmarkStart w:id="207" w:name="_Toc416357162"/>
      <w:bookmarkStart w:id="208" w:name="_Toc416419318"/>
      <w:bookmarkStart w:id="209" w:name="_Toc421888925"/>
      <w:bookmarkStart w:id="210" w:name="_Toc318124810"/>
      <w:bookmarkStart w:id="211" w:name="_Toc358367390"/>
      <w:bookmarkStart w:id="212" w:name="_Toc353369291"/>
      <w:bookmarkStart w:id="213" w:name="_Toc314142405"/>
      <w:r w:rsidRPr="00077064">
        <w:rPr>
          <w:rFonts w:eastAsia="Times New Roman"/>
          <w:b/>
          <w:bCs/>
          <w:szCs w:val="24"/>
          <w:u w:val="single"/>
        </w:rPr>
        <w:t xml:space="preserve">Conversion </w:t>
      </w:r>
      <w:r w:rsidR="002D4B27">
        <w:rPr>
          <w:rFonts w:eastAsia="Times New Roman"/>
          <w:b/>
          <w:bCs/>
          <w:szCs w:val="24"/>
          <w:u w:val="single"/>
        </w:rPr>
        <w:t xml:space="preserve">and Processing </w:t>
      </w:r>
      <w:r w:rsidRPr="00077064">
        <w:rPr>
          <w:rFonts w:eastAsia="Times New Roman"/>
          <w:b/>
          <w:bCs/>
          <w:szCs w:val="24"/>
          <w:u w:val="single"/>
        </w:rPr>
        <w:t>Requirements</w:t>
      </w:r>
      <w:bookmarkEnd w:id="207"/>
      <w:bookmarkEnd w:id="208"/>
      <w:bookmarkEnd w:id="209"/>
    </w:p>
    <w:p w14:paraId="526CC623" w14:textId="77777777" w:rsidR="00536767" w:rsidRPr="00077064" w:rsidRDefault="00536767" w:rsidP="00536767">
      <w:pPr>
        <w:keepNext/>
        <w:keepLines/>
        <w:spacing w:after="12"/>
        <w:ind w:left="1440"/>
        <w:outlineLvl w:val="1"/>
        <w:rPr>
          <w:rFonts w:eastAsia="Times New Roman"/>
          <w:b/>
          <w:bCs/>
          <w:szCs w:val="24"/>
          <w:u w:val="single"/>
        </w:rPr>
      </w:pPr>
    </w:p>
    <w:p w14:paraId="7F57C50C" w14:textId="5F1E6219" w:rsidR="00A14DCD" w:rsidRPr="00077064" w:rsidRDefault="004463E2" w:rsidP="00A14DCD">
      <w:pPr>
        <w:keepNext/>
        <w:keepLines/>
        <w:spacing w:after="12"/>
        <w:rPr>
          <w:rFonts w:eastAsia="Times New Roman"/>
          <w:bCs/>
          <w:szCs w:val="24"/>
        </w:rPr>
      </w:pPr>
      <w:r>
        <w:rPr>
          <w:rFonts w:eastAsia="Times New Roman"/>
          <w:bCs/>
          <w:szCs w:val="24"/>
        </w:rPr>
        <w:t>As discussed in further detail below, the c</w:t>
      </w:r>
      <w:r w:rsidR="00A14DCD" w:rsidRPr="00077064">
        <w:rPr>
          <w:rFonts w:eastAsia="Times New Roman"/>
          <w:bCs/>
          <w:szCs w:val="24"/>
        </w:rPr>
        <w:t xml:space="preserve">onversion of a </w:t>
      </w:r>
      <w:r w:rsidR="00165BDC">
        <w:rPr>
          <w:rFonts w:eastAsia="Times New Roman"/>
          <w:bCs/>
          <w:szCs w:val="24"/>
        </w:rPr>
        <w:t>PRAC</w:t>
      </w:r>
      <w:r w:rsidR="00A14DCD" w:rsidRPr="00077064">
        <w:rPr>
          <w:rFonts w:eastAsia="Times New Roman"/>
          <w:bCs/>
          <w:szCs w:val="24"/>
        </w:rPr>
        <w:t xml:space="preserve"> </w:t>
      </w:r>
      <w:r w:rsidR="00887E42">
        <w:rPr>
          <w:rFonts w:eastAsia="Times New Roman"/>
          <w:bCs/>
          <w:szCs w:val="24"/>
        </w:rPr>
        <w:t>P</w:t>
      </w:r>
      <w:r w:rsidR="00A14DCD" w:rsidRPr="00077064">
        <w:rPr>
          <w:rFonts w:eastAsia="Times New Roman"/>
          <w:bCs/>
          <w:szCs w:val="24"/>
        </w:rPr>
        <w:t>roject will generally entail:</w:t>
      </w:r>
    </w:p>
    <w:p w14:paraId="7F57C50D" w14:textId="77777777" w:rsidR="00A14DCD" w:rsidRPr="004463E2" w:rsidRDefault="00A14DCD" w:rsidP="00794828">
      <w:pPr>
        <w:pStyle w:val="ListParagraph"/>
        <w:keepNext/>
        <w:keepLines/>
        <w:numPr>
          <w:ilvl w:val="0"/>
          <w:numId w:val="14"/>
        </w:numPr>
        <w:spacing w:after="12"/>
        <w:rPr>
          <w:rFonts w:eastAsia="Times New Roman"/>
          <w:bCs/>
          <w:sz w:val="24"/>
          <w:szCs w:val="24"/>
        </w:rPr>
      </w:pPr>
      <w:r w:rsidRPr="004463E2">
        <w:rPr>
          <w:rFonts w:eastAsia="Times New Roman"/>
          <w:bCs/>
          <w:sz w:val="24"/>
          <w:szCs w:val="24"/>
        </w:rPr>
        <w:t xml:space="preserve">An </w:t>
      </w:r>
      <w:r w:rsidR="004463E2">
        <w:rPr>
          <w:rFonts w:eastAsia="Times New Roman"/>
          <w:bCs/>
          <w:sz w:val="24"/>
          <w:szCs w:val="24"/>
        </w:rPr>
        <w:t>I</w:t>
      </w:r>
      <w:r w:rsidRPr="004463E2">
        <w:rPr>
          <w:rFonts w:eastAsia="Times New Roman"/>
          <w:bCs/>
          <w:sz w:val="24"/>
          <w:szCs w:val="24"/>
        </w:rPr>
        <w:t xml:space="preserve">nitial </w:t>
      </w:r>
      <w:r w:rsidR="004463E2">
        <w:rPr>
          <w:rFonts w:eastAsia="Times New Roman"/>
          <w:bCs/>
          <w:sz w:val="24"/>
          <w:szCs w:val="24"/>
        </w:rPr>
        <w:t>S</w:t>
      </w:r>
      <w:r w:rsidRPr="004463E2">
        <w:rPr>
          <w:rFonts w:eastAsia="Times New Roman"/>
          <w:bCs/>
          <w:sz w:val="24"/>
          <w:szCs w:val="24"/>
        </w:rPr>
        <w:t xml:space="preserve">ubmission of </w:t>
      </w:r>
      <w:r w:rsidR="004463E2">
        <w:rPr>
          <w:rFonts w:eastAsia="Times New Roman"/>
          <w:bCs/>
          <w:sz w:val="24"/>
          <w:szCs w:val="24"/>
        </w:rPr>
        <w:t>I</w:t>
      </w:r>
      <w:r w:rsidRPr="004463E2">
        <w:rPr>
          <w:rFonts w:eastAsia="Times New Roman"/>
          <w:bCs/>
          <w:sz w:val="24"/>
          <w:szCs w:val="24"/>
        </w:rPr>
        <w:t>nterest</w:t>
      </w:r>
      <w:r w:rsidR="004463E2">
        <w:rPr>
          <w:rFonts w:eastAsia="Times New Roman"/>
          <w:bCs/>
          <w:sz w:val="24"/>
          <w:szCs w:val="24"/>
        </w:rPr>
        <w:t xml:space="preserve"> to HUD</w:t>
      </w:r>
    </w:p>
    <w:p w14:paraId="4B926344" w14:textId="77777777" w:rsidR="00312332" w:rsidRDefault="00312332" w:rsidP="00312332">
      <w:pPr>
        <w:keepNext/>
        <w:keepLines/>
        <w:numPr>
          <w:ilvl w:val="0"/>
          <w:numId w:val="14"/>
        </w:numPr>
        <w:spacing w:after="12"/>
        <w:contextualSpacing/>
        <w:rPr>
          <w:rFonts w:eastAsia="Times New Roman"/>
          <w:bCs/>
          <w:szCs w:val="24"/>
        </w:rPr>
      </w:pPr>
      <w:r>
        <w:rPr>
          <w:rFonts w:eastAsia="Times New Roman"/>
          <w:bCs/>
          <w:szCs w:val="24"/>
        </w:rPr>
        <w:t xml:space="preserve">Resident Notification and Consultation </w:t>
      </w:r>
    </w:p>
    <w:p w14:paraId="7F57C50E" w14:textId="0C91AC79" w:rsidR="004463E2" w:rsidRPr="00312332" w:rsidRDefault="00312332" w:rsidP="00312332">
      <w:pPr>
        <w:keepNext/>
        <w:keepLines/>
        <w:numPr>
          <w:ilvl w:val="0"/>
          <w:numId w:val="14"/>
        </w:numPr>
        <w:spacing w:after="12"/>
        <w:contextualSpacing/>
        <w:rPr>
          <w:rFonts w:eastAsia="Times New Roman"/>
          <w:bCs/>
          <w:szCs w:val="24"/>
        </w:rPr>
      </w:pPr>
      <w:r>
        <w:rPr>
          <w:rFonts w:eastAsia="Times New Roman"/>
          <w:bCs/>
          <w:szCs w:val="24"/>
        </w:rPr>
        <w:t>S</w:t>
      </w:r>
      <w:r w:rsidR="004463E2" w:rsidRPr="00312332">
        <w:rPr>
          <w:rFonts w:eastAsia="Times New Roman"/>
          <w:bCs/>
          <w:szCs w:val="24"/>
        </w:rPr>
        <w:t xml:space="preserve">election of </w:t>
      </w:r>
      <w:r w:rsidR="00C05BC7" w:rsidRPr="00312332">
        <w:rPr>
          <w:rFonts w:eastAsia="Times New Roman"/>
          <w:bCs/>
          <w:szCs w:val="24"/>
        </w:rPr>
        <w:t>PHA</w:t>
      </w:r>
      <w:r w:rsidR="004463E2" w:rsidRPr="00312332">
        <w:rPr>
          <w:rFonts w:eastAsia="Times New Roman"/>
          <w:bCs/>
          <w:szCs w:val="24"/>
        </w:rPr>
        <w:t xml:space="preserve"> (PBV conversions only)</w:t>
      </w:r>
    </w:p>
    <w:p w14:paraId="7F57C511" w14:textId="77777777" w:rsidR="00A14DCD" w:rsidRDefault="00F618B5" w:rsidP="00794828">
      <w:pPr>
        <w:keepNext/>
        <w:keepLines/>
        <w:numPr>
          <w:ilvl w:val="0"/>
          <w:numId w:val="14"/>
        </w:numPr>
        <w:spacing w:after="12"/>
        <w:contextualSpacing/>
        <w:rPr>
          <w:rFonts w:eastAsia="Times New Roman"/>
          <w:bCs/>
          <w:szCs w:val="24"/>
        </w:rPr>
      </w:pPr>
      <w:r>
        <w:rPr>
          <w:rFonts w:eastAsia="Times New Roman"/>
          <w:bCs/>
          <w:szCs w:val="24"/>
        </w:rPr>
        <w:t>Conversion Plan</w:t>
      </w:r>
      <w:r w:rsidR="00A14DCD" w:rsidRPr="00077064">
        <w:rPr>
          <w:rFonts w:eastAsia="Times New Roman"/>
          <w:bCs/>
          <w:szCs w:val="24"/>
        </w:rPr>
        <w:t xml:space="preserve"> </w:t>
      </w:r>
      <w:r w:rsidR="004463E2">
        <w:rPr>
          <w:rFonts w:eastAsia="Times New Roman"/>
          <w:bCs/>
          <w:szCs w:val="24"/>
        </w:rPr>
        <w:t>S</w:t>
      </w:r>
      <w:r w:rsidR="00A14DCD" w:rsidRPr="00077064">
        <w:rPr>
          <w:rFonts w:eastAsia="Times New Roman"/>
          <w:bCs/>
          <w:szCs w:val="24"/>
        </w:rPr>
        <w:t>ubmission</w:t>
      </w:r>
      <w:r w:rsidR="008F68F0">
        <w:rPr>
          <w:rFonts w:eastAsia="Times New Roman"/>
          <w:bCs/>
          <w:szCs w:val="24"/>
        </w:rPr>
        <w:t xml:space="preserve">, RAD </w:t>
      </w:r>
      <w:r w:rsidR="004463E2">
        <w:rPr>
          <w:rFonts w:eastAsia="Times New Roman"/>
          <w:bCs/>
          <w:szCs w:val="24"/>
        </w:rPr>
        <w:t>A</w:t>
      </w:r>
      <w:r w:rsidR="00A14DCD" w:rsidRPr="00077064">
        <w:rPr>
          <w:rFonts w:eastAsia="Times New Roman"/>
          <w:bCs/>
          <w:szCs w:val="24"/>
        </w:rPr>
        <w:t>pproval</w:t>
      </w:r>
      <w:r w:rsidR="008F68F0">
        <w:rPr>
          <w:rFonts w:eastAsia="Times New Roman"/>
          <w:bCs/>
          <w:szCs w:val="24"/>
        </w:rPr>
        <w:t>, and Closing</w:t>
      </w:r>
    </w:p>
    <w:p w14:paraId="7F57C512" w14:textId="77777777" w:rsidR="008F68F0" w:rsidRPr="008F68F0" w:rsidRDefault="008F68F0" w:rsidP="008F68F0">
      <w:pPr>
        <w:keepNext/>
        <w:keepLines/>
        <w:spacing w:after="12"/>
        <w:ind w:left="720"/>
        <w:contextualSpacing/>
        <w:rPr>
          <w:rFonts w:eastAsia="Times New Roman"/>
          <w:bCs/>
          <w:szCs w:val="24"/>
        </w:rPr>
      </w:pPr>
    </w:p>
    <w:p w14:paraId="7F57C513" w14:textId="31FA1D2F" w:rsidR="00A14DCD" w:rsidRDefault="00A14DCD" w:rsidP="00794828">
      <w:pPr>
        <w:keepNext/>
        <w:keepLines/>
        <w:numPr>
          <w:ilvl w:val="2"/>
          <w:numId w:val="21"/>
        </w:numPr>
        <w:spacing w:after="12"/>
        <w:contextualSpacing/>
        <w:outlineLvl w:val="1"/>
        <w:rPr>
          <w:rFonts w:eastAsia="Times New Roman"/>
          <w:b/>
          <w:bCs/>
          <w:szCs w:val="24"/>
          <w:u w:val="single"/>
        </w:rPr>
      </w:pPr>
      <w:bookmarkStart w:id="214" w:name="_Toc416357163"/>
      <w:bookmarkStart w:id="215" w:name="_Toc416419319"/>
      <w:bookmarkStart w:id="216" w:name="_Toc421888926"/>
      <w:r w:rsidRPr="00077064">
        <w:rPr>
          <w:rFonts w:eastAsia="Times New Roman"/>
          <w:b/>
          <w:bCs/>
          <w:szCs w:val="24"/>
          <w:u w:val="single"/>
        </w:rPr>
        <w:t>Initial Submission of Interest to HUD</w:t>
      </w:r>
      <w:bookmarkEnd w:id="214"/>
      <w:bookmarkEnd w:id="215"/>
      <w:bookmarkEnd w:id="216"/>
    </w:p>
    <w:p w14:paraId="633E6033" w14:textId="77777777" w:rsidR="00536767" w:rsidRPr="00077064" w:rsidRDefault="00536767" w:rsidP="00536767">
      <w:pPr>
        <w:keepNext/>
        <w:keepLines/>
        <w:spacing w:after="12"/>
        <w:ind w:left="2700"/>
        <w:contextualSpacing/>
        <w:outlineLvl w:val="1"/>
        <w:rPr>
          <w:rFonts w:eastAsia="Times New Roman"/>
          <w:b/>
          <w:bCs/>
          <w:szCs w:val="24"/>
          <w:u w:val="single"/>
        </w:rPr>
      </w:pPr>
    </w:p>
    <w:p w14:paraId="7F57C514" w14:textId="62F60AE1" w:rsidR="00A14DCD" w:rsidRPr="00077064" w:rsidRDefault="00A14DCD" w:rsidP="00A14DCD">
      <w:pPr>
        <w:spacing w:after="12"/>
        <w:rPr>
          <w:szCs w:val="24"/>
        </w:rPr>
      </w:pPr>
      <w:r w:rsidRPr="00077064">
        <w:rPr>
          <w:szCs w:val="24"/>
        </w:rPr>
        <w:t xml:space="preserve">Prior to submitting a </w:t>
      </w:r>
      <w:r w:rsidR="00F618B5">
        <w:rPr>
          <w:szCs w:val="24"/>
        </w:rPr>
        <w:t>Conversion Plan</w:t>
      </w:r>
      <w:r w:rsidRPr="00077064">
        <w:rPr>
          <w:szCs w:val="24"/>
        </w:rPr>
        <w:t xml:space="preserve">, a </w:t>
      </w:r>
      <w:r w:rsidR="000078CE">
        <w:rPr>
          <w:szCs w:val="24"/>
        </w:rPr>
        <w:t>Project Owner</w:t>
      </w:r>
      <w:r w:rsidRPr="00077064">
        <w:rPr>
          <w:szCs w:val="24"/>
        </w:rPr>
        <w:t xml:space="preserve"> must make an initial submission to HUD indicating the </w:t>
      </w:r>
      <w:r w:rsidR="000078CE">
        <w:rPr>
          <w:szCs w:val="24"/>
        </w:rPr>
        <w:t>Project Owner</w:t>
      </w:r>
      <w:r w:rsidRPr="00077064">
        <w:rPr>
          <w:szCs w:val="24"/>
        </w:rPr>
        <w:t>’s interest in conversion under this Notice. The submission must include:</w:t>
      </w:r>
    </w:p>
    <w:p w14:paraId="7F57C515" w14:textId="77777777" w:rsidR="00A14DCD" w:rsidRPr="00077064" w:rsidRDefault="00A14DCD" w:rsidP="00794828">
      <w:pPr>
        <w:numPr>
          <w:ilvl w:val="0"/>
          <w:numId w:val="8"/>
        </w:numPr>
        <w:spacing w:after="12"/>
        <w:ind w:left="720"/>
        <w:rPr>
          <w:szCs w:val="24"/>
        </w:rPr>
      </w:pPr>
      <w:r w:rsidRPr="00077064">
        <w:rPr>
          <w:szCs w:val="24"/>
        </w:rPr>
        <w:t>Project name;</w:t>
      </w:r>
    </w:p>
    <w:p w14:paraId="7F57C516" w14:textId="77777777" w:rsidR="00A14DCD" w:rsidRPr="00077064" w:rsidRDefault="00A14DCD" w:rsidP="00794828">
      <w:pPr>
        <w:numPr>
          <w:ilvl w:val="0"/>
          <w:numId w:val="8"/>
        </w:numPr>
        <w:spacing w:after="12"/>
        <w:ind w:left="720"/>
        <w:rPr>
          <w:szCs w:val="24"/>
        </w:rPr>
      </w:pPr>
      <w:r w:rsidRPr="00077064">
        <w:rPr>
          <w:szCs w:val="24"/>
        </w:rPr>
        <w:t>Project address;</w:t>
      </w:r>
    </w:p>
    <w:p w14:paraId="7F57C517" w14:textId="33B8FFB7" w:rsidR="00A14DCD" w:rsidRPr="00077064" w:rsidRDefault="000078CE" w:rsidP="00794828">
      <w:pPr>
        <w:numPr>
          <w:ilvl w:val="0"/>
          <w:numId w:val="8"/>
        </w:numPr>
        <w:spacing w:after="12"/>
        <w:ind w:left="720"/>
        <w:rPr>
          <w:szCs w:val="24"/>
        </w:rPr>
      </w:pPr>
      <w:r>
        <w:rPr>
          <w:szCs w:val="24"/>
        </w:rPr>
        <w:t>Project Owner</w:t>
      </w:r>
      <w:r w:rsidR="00A14DCD" w:rsidRPr="00077064">
        <w:rPr>
          <w:szCs w:val="24"/>
        </w:rPr>
        <w:t>’s name;</w:t>
      </w:r>
    </w:p>
    <w:p w14:paraId="7F57C518" w14:textId="61322808" w:rsidR="00A14DCD" w:rsidRPr="00077064" w:rsidRDefault="000078CE" w:rsidP="00794828">
      <w:pPr>
        <w:numPr>
          <w:ilvl w:val="0"/>
          <w:numId w:val="8"/>
        </w:numPr>
        <w:spacing w:after="12"/>
        <w:ind w:left="720"/>
        <w:rPr>
          <w:szCs w:val="24"/>
        </w:rPr>
      </w:pPr>
      <w:r>
        <w:rPr>
          <w:szCs w:val="24"/>
        </w:rPr>
        <w:t>Project Owner</w:t>
      </w:r>
      <w:r w:rsidR="00A14DCD" w:rsidRPr="00077064">
        <w:rPr>
          <w:szCs w:val="24"/>
        </w:rPr>
        <w:t>’s contact information;</w:t>
      </w:r>
    </w:p>
    <w:p w14:paraId="7F57C519" w14:textId="77777777" w:rsidR="00A14DCD" w:rsidRPr="00077064" w:rsidRDefault="00A14DCD" w:rsidP="00794828">
      <w:pPr>
        <w:numPr>
          <w:ilvl w:val="0"/>
          <w:numId w:val="8"/>
        </w:numPr>
        <w:spacing w:after="12"/>
        <w:ind w:left="720"/>
        <w:rPr>
          <w:szCs w:val="24"/>
        </w:rPr>
      </w:pPr>
      <w:r w:rsidRPr="00077064">
        <w:rPr>
          <w:szCs w:val="24"/>
        </w:rPr>
        <w:t xml:space="preserve">The </w:t>
      </w:r>
      <w:r w:rsidR="00165BDC">
        <w:rPr>
          <w:szCs w:val="24"/>
        </w:rPr>
        <w:t>PRAC</w:t>
      </w:r>
      <w:r w:rsidRPr="00077064">
        <w:rPr>
          <w:szCs w:val="24"/>
        </w:rPr>
        <w:t xml:space="preserve"> Contract number(s);</w:t>
      </w:r>
    </w:p>
    <w:p w14:paraId="7F57C51A" w14:textId="3890BF5E" w:rsidR="00A14DCD" w:rsidRPr="00077064" w:rsidRDefault="00060E2F" w:rsidP="00794828">
      <w:pPr>
        <w:numPr>
          <w:ilvl w:val="0"/>
          <w:numId w:val="8"/>
        </w:numPr>
        <w:spacing w:after="12"/>
        <w:ind w:left="720"/>
        <w:rPr>
          <w:szCs w:val="24"/>
        </w:rPr>
      </w:pPr>
      <w:r>
        <w:rPr>
          <w:szCs w:val="24"/>
        </w:rPr>
        <w:t xml:space="preserve">PRAC </w:t>
      </w:r>
      <w:r w:rsidR="00A14DCD">
        <w:rPr>
          <w:szCs w:val="24"/>
        </w:rPr>
        <w:t>Contract expiration date</w:t>
      </w:r>
      <w:r>
        <w:rPr>
          <w:szCs w:val="24"/>
        </w:rPr>
        <w:t>(s);</w:t>
      </w:r>
    </w:p>
    <w:p w14:paraId="7F57C51C" w14:textId="09CB4747" w:rsidR="00A14DCD" w:rsidRPr="00312332" w:rsidRDefault="00A14DCD" w:rsidP="00312332">
      <w:pPr>
        <w:numPr>
          <w:ilvl w:val="0"/>
          <w:numId w:val="8"/>
        </w:numPr>
        <w:spacing w:after="12"/>
        <w:ind w:left="720"/>
        <w:rPr>
          <w:szCs w:val="24"/>
        </w:rPr>
      </w:pPr>
      <w:r w:rsidRPr="00077064">
        <w:rPr>
          <w:szCs w:val="24"/>
        </w:rPr>
        <w:t xml:space="preserve">Total number of units covered under the </w:t>
      </w:r>
      <w:r w:rsidR="00165BDC">
        <w:rPr>
          <w:szCs w:val="24"/>
        </w:rPr>
        <w:t>PRAC</w:t>
      </w:r>
      <w:r w:rsidRPr="00077064">
        <w:rPr>
          <w:szCs w:val="24"/>
        </w:rPr>
        <w:t xml:space="preserve"> Contract(s), by bedroom size</w:t>
      </w:r>
      <w:r w:rsidR="00060E2F" w:rsidRPr="00312332">
        <w:rPr>
          <w:szCs w:val="24"/>
        </w:rPr>
        <w:t>; and</w:t>
      </w:r>
    </w:p>
    <w:p w14:paraId="7A472320" w14:textId="3F3F99F6" w:rsidR="00F17071" w:rsidRPr="00F17071" w:rsidRDefault="00A14DCD" w:rsidP="00794828">
      <w:pPr>
        <w:numPr>
          <w:ilvl w:val="0"/>
          <w:numId w:val="8"/>
        </w:numPr>
        <w:spacing w:after="12"/>
        <w:ind w:left="720"/>
        <w:rPr>
          <w:szCs w:val="24"/>
        </w:rPr>
      </w:pPr>
      <w:r>
        <w:rPr>
          <w:szCs w:val="24"/>
        </w:rPr>
        <w:t>Conversion Type (PBV</w:t>
      </w:r>
      <w:r w:rsidR="00A2779C">
        <w:rPr>
          <w:szCs w:val="24"/>
        </w:rPr>
        <w:t xml:space="preserve"> or PBRA</w:t>
      </w:r>
      <w:r>
        <w:rPr>
          <w:szCs w:val="24"/>
        </w:rPr>
        <w:t>)</w:t>
      </w:r>
      <w:r w:rsidR="00060E2F">
        <w:rPr>
          <w:szCs w:val="24"/>
        </w:rPr>
        <w:t>.</w:t>
      </w:r>
    </w:p>
    <w:p w14:paraId="7F57C51F" w14:textId="77777777" w:rsidR="00A14DCD" w:rsidRPr="00077064" w:rsidRDefault="00A14DCD" w:rsidP="00A14DCD">
      <w:pPr>
        <w:spacing w:after="12"/>
        <w:ind w:left="1080"/>
        <w:rPr>
          <w:szCs w:val="24"/>
        </w:rPr>
      </w:pPr>
    </w:p>
    <w:p w14:paraId="7F57C520" w14:textId="394A2A65" w:rsidR="00A14DCD" w:rsidRPr="00077064" w:rsidRDefault="00A14DCD" w:rsidP="00A14DCD">
      <w:pPr>
        <w:spacing w:after="12"/>
        <w:rPr>
          <w:szCs w:val="24"/>
          <w:u w:val="single"/>
        </w:rPr>
      </w:pPr>
      <w:r w:rsidRPr="00077064">
        <w:rPr>
          <w:szCs w:val="24"/>
        </w:rPr>
        <w:t>HUD has developed a</w:t>
      </w:r>
      <w:r w:rsidR="00697187">
        <w:rPr>
          <w:szCs w:val="24"/>
        </w:rPr>
        <w:t xml:space="preserve">n electronic form submission </w:t>
      </w:r>
      <w:r w:rsidR="00B04AA7">
        <w:rPr>
          <w:szCs w:val="24"/>
        </w:rPr>
        <w:t>for</w:t>
      </w:r>
      <w:r w:rsidRPr="00077064">
        <w:rPr>
          <w:szCs w:val="24"/>
        </w:rPr>
        <w:t xml:space="preserve"> </w:t>
      </w:r>
      <w:r w:rsidR="000078CE">
        <w:rPr>
          <w:szCs w:val="24"/>
        </w:rPr>
        <w:t>Project Owner</w:t>
      </w:r>
      <w:r w:rsidRPr="00077064">
        <w:rPr>
          <w:szCs w:val="24"/>
        </w:rPr>
        <w:t xml:space="preserve">s </w:t>
      </w:r>
      <w:r w:rsidR="00B04AA7">
        <w:rPr>
          <w:szCs w:val="24"/>
        </w:rPr>
        <w:t>to</w:t>
      </w:r>
      <w:r w:rsidRPr="00077064">
        <w:rPr>
          <w:szCs w:val="24"/>
        </w:rPr>
        <w:t xml:space="preserve"> </w:t>
      </w:r>
      <w:r w:rsidR="00697187">
        <w:rPr>
          <w:szCs w:val="24"/>
        </w:rPr>
        <w:t>make the</w:t>
      </w:r>
      <w:r w:rsidRPr="00077064">
        <w:rPr>
          <w:szCs w:val="24"/>
        </w:rPr>
        <w:t xml:space="preserve"> initial submission. </w:t>
      </w:r>
      <w:bookmarkStart w:id="217" w:name="_Hlk504644376"/>
      <w:r w:rsidR="00697187">
        <w:rPr>
          <w:szCs w:val="24"/>
        </w:rPr>
        <w:t xml:space="preserve">To access the electronic submission template, Project Owners must request access to the RAD Resource Desk </w:t>
      </w:r>
      <w:bookmarkEnd w:id="217"/>
      <w:r w:rsidR="00697187">
        <w:rPr>
          <w:szCs w:val="24"/>
        </w:rPr>
        <w:t xml:space="preserve">at </w:t>
      </w:r>
      <w:hyperlink r:id="rId16" w:history="1">
        <w:r w:rsidR="00697187" w:rsidRPr="006D0300">
          <w:rPr>
            <w:rStyle w:val="Hyperlink"/>
            <w:szCs w:val="24"/>
          </w:rPr>
          <w:t>www.radresource.net</w:t>
        </w:r>
      </w:hyperlink>
      <w:r w:rsidR="00697187">
        <w:rPr>
          <w:szCs w:val="24"/>
        </w:rPr>
        <w:t xml:space="preserve"> where users will be prompted to provide the information listed above. </w:t>
      </w:r>
    </w:p>
    <w:p w14:paraId="7F57C521" w14:textId="77777777" w:rsidR="00A14DCD" w:rsidRPr="00077064" w:rsidRDefault="00A14DCD" w:rsidP="00A14DCD">
      <w:pPr>
        <w:spacing w:after="12"/>
        <w:ind w:left="1080"/>
        <w:rPr>
          <w:szCs w:val="24"/>
        </w:rPr>
      </w:pPr>
    </w:p>
    <w:p w14:paraId="7F57C522" w14:textId="000A348D" w:rsidR="00A14DCD" w:rsidRPr="00077064" w:rsidRDefault="00A14DCD" w:rsidP="00A14DCD">
      <w:pPr>
        <w:spacing w:after="12"/>
        <w:rPr>
          <w:szCs w:val="24"/>
        </w:rPr>
      </w:pPr>
      <w:r w:rsidRPr="00077064">
        <w:rPr>
          <w:szCs w:val="24"/>
        </w:rPr>
        <w:t xml:space="preserve">HUD will provide the </w:t>
      </w:r>
      <w:r w:rsidR="000078CE">
        <w:rPr>
          <w:szCs w:val="24"/>
        </w:rPr>
        <w:t>Project Owner</w:t>
      </w:r>
      <w:r w:rsidRPr="00077064">
        <w:rPr>
          <w:szCs w:val="24"/>
        </w:rPr>
        <w:t xml:space="preserve"> a confirmation of successful submission. HUD will use the initial submission in order to:</w:t>
      </w:r>
    </w:p>
    <w:p w14:paraId="7F57C524" w14:textId="3448D697" w:rsidR="00A14DCD" w:rsidRPr="00077064" w:rsidRDefault="00A14DCD" w:rsidP="00794828">
      <w:pPr>
        <w:numPr>
          <w:ilvl w:val="0"/>
          <w:numId w:val="9"/>
        </w:numPr>
        <w:spacing w:after="12"/>
        <w:rPr>
          <w:szCs w:val="24"/>
        </w:rPr>
      </w:pPr>
      <w:r>
        <w:t xml:space="preserve">Assign a Transaction Manager, who will </w:t>
      </w:r>
      <w:r w:rsidR="00930B12">
        <w:t xml:space="preserve">make </w:t>
      </w:r>
      <w:r>
        <w:t xml:space="preserve">contact to discuss the </w:t>
      </w:r>
      <w:r w:rsidR="00FD1E13">
        <w:t>conversion</w:t>
      </w:r>
      <w:r>
        <w:t xml:space="preserve"> process and </w:t>
      </w:r>
      <w:r w:rsidR="00930B12">
        <w:t xml:space="preserve">the </w:t>
      </w:r>
      <w:r w:rsidR="000078CE">
        <w:t>Project Owner</w:t>
      </w:r>
      <w:r w:rsidR="00930B12">
        <w:t>’s</w:t>
      </w:r>
      <w:r w:rsidR="00A1754A">
        <w:t xml:space="preserve"> </w:t>
      </w:r>
      <w:r>
        <w:t xml:space="preserve">goals for the </w:t>
      </w:r>
      <w:r w:rsidR="00887E42">
        <w:t>P</w:t>
      </w:r>
      <w:r>
        <w:t>ro</w:t>
      </w:r>
      <w:r w:rsidR="006B5A34">
        <w:t>ject</w:t>
      </w:r>
      <w:r w:rsidR="00060E2F">
        <w:t>; and</w:t>
      </w:r>
    </w:p>
    <w:p w14:paraId="7F57C525" w14:textId="128F918F" w:rsidR="00A14DCD" w:rsidRPr="00D253C2" w:rsidRDefault="00A14DCD" w:rsidP="00794828">
      <w:pPr>
        <w:numPr>
          <w:ilvl w:val="0"/>
          <w:numId w:val="9"/>
        </w:numPr>
        <w:spacing w:after="12"/>
        <w:rPr>
          <w:szCs w:val="24"/>
        </w:rPr>
      </w:pPr>
      <w:r w:rsidRPr="00D253C2">
        <w:rPr>
          <w:szCs w:val="24"/>
        </w:rPr>
        <w:t xml:space="preserve">For PBV conversion, initiate the process to identify a </w:t>
      </w:r>
      <w:r w:rsidR="00C05BC7">
        <w:rPr>
          <w:szCs w:val="24"/>
        </w:rPr>
        <w:t>PHA</w:t>
      </w:r>
      <w:r w:rsidRPr="00D253C2">
        <w:rPr>
          <w:szCs w:val="24"/>
        </w:rPr>
        <w:t xml:space="preserve"> willing to administer the new PBV contract</w:t>
      </w:r>
      <w:r>
        <w:rPr>
          <w:szCs w:val="24"/>
        </w:rPr>
        <w:t>.</w:t>
      </w:r>
      <w:r w:rsidRPr="00D253C2">
        <w:rPr>
          <w:szCs w:val="24"/>
        </w:rPr>
        <w:t xml:space="preserve"> </w:t>
      </w:r>
    </w:p>
    <w:p w14:paraId="7F57C526" w14:textId="77777777" w:rsidR="007E2E0D" w:rsidRDefault="007E2E0D" w:rsidP="00A14DCD">
      <w:pPr>
        <w:spacing w:after="12"/>
        <w:rPr>
          <w:szCs w:val="24"/>
        </w:rPr>
      </w:pPr>
    </w:p>
    <w:p w14:paraId="7F57C527" w14:textId="7D244D9D" w:rsidR="00A14DCD" w:rsidRPr="00077064" w:rsidRDefault="00A14DCD" w:rsidP="00A14DCD">
      <w:pPr>
        <w:spacing w:after="12"/>
        <w:rPr>
          <w:szCs w:val="24"/>
        </w:rPr>
      </w:pPr>
      <w:r w:rsidRPr="00077064">
        <w:rPr>
          <w:szCs w:val="24"/>
        </w:rPr>
        <w:t xml:space="preserve">There is no fee associated with the initial submission, and there is no cap on the number of </w:t>
      </w:r>
      <w:r w:rsidR="000523A2">
        <w:rPr>
          <w:szCs w:val="24"/>
        </w:rPr>
        <w:t xml:space="preserve">202 </w:t>
      </w:r>
      <w:r w:rsidR="00060E2F">
        <w:rPr>
          <w:szCs w:val="24"/>
        </w:rPr>
        <w:t xml:space="preserve">PRAC </w:t>
      </w:r>
      <w:r w:rsidR="00887E42">
        <w:rPr>
          <w:szCs w:val="24"/>
        </w:rPr>
        <w:t>P</w:t>
      </w:r>
      <w:r w:rsidRPr="00077064">
        <w:rPr>
          <w:szCs w:val="24"/>
        </w:rPr>
        <w:t xml:space="preserve">rojects for which a </w:t>
      </w:r>
      <w:r w:rsidR="000078CE">
        <w:rPr>
          <w:szCs w:val="24"/>
        </w:rPr>
        <w:t>Project Owner</w:t>
      </w:r>
      <w:r w:rsidRPr="00077064">
        <w:rPr>
          <w:szCs w:val="24"/>
        </w:rPr>
        <w:t xml:space="preserve"> may </w:t>
      </w:r>
      <w:r w:rsidR="0062380C">
        <w:rPr>
          <w:szCs w:val="24"/>
        </w:rPr>
        <w:t xml:space="preserve">make a submission. </w:t>
      </w:r>
      <w:r w:rsidRPr="00077064">
        <w:rPr>
          <w:szCs w:val="24"/>
        </w:rPr>
        <w:t xml:space="preserve">HUD will take no adverse action against a </w:t>
      </w:r>
      <w:r w:rsidR="000078CE">
        <w:rPr>
          <w:szCs w:val="24"/>
        </w:rPr>
        <w:t>Project Owner</w:t>
      </w:r>
      <w:r w:rsidRPr="00077064">
        <w:rPr>
          <w:szCs w:val="24"/>
        </w:rPr>
        <w:t xml:space="preserve"> who makes an initial submission but does not later submit a </w:t>
      </w:r>
      <w:r w:rsidR="00F618B5">
        <w:rPr>
          <w:szCs w:val="24"/>
        </w:rPr>
        <w:t>Conversion Plan</w:t>
      </w:r>
      <w:r w:rsidRPr="00077064">
        <w:rPr>
          <w:szCs w:val="24"/>
        </w:rPr>
        <w:t>.</w:t>
      </w:r>
    </w:p>
    <w:p w14:paraId="7F57C528" w14:textId="77777777" w:rsidR="00A14DCD" w:rsidRPr="00077064" w:rsidRDefault="00A14DCD" w:rsidP="00A14DCD">
      <w:pPr>
        <w:spacing w:after="12"/>
        <w:ind w:left="360"/>
        <w:rPr>
          <w:szCs w:val="24"/>
        </w:rPr>
      </w:pPr>
    </w:p>
    <w:p w14:paraId="7F57C529" w14:textId="6AFD7358" w:rsidR="00A625BF" w:rsidRDefault="00A14DCD" w:rsidP="00794828">
      <w:pPr>
        <w:keepNext/>
        <w:keepLines/>
        <w:numPr>
          <w:ilvl w:val="2"/>
          <w:numId w:val="21"/>
        </w:numPr>
        <w:spacing w:after="12"/>
        <w:contextualSpacing/>
        <w:outlineLvl w:val="1"/>
        <w:rPr>
          <w:b/>
          <w:szCs w:val="24"/>
          <w:u w:val="single"/>
        </w:rPr>
      </w:pPr>
      <w:bookmarkStart w:id="218" w:name="_Toc421888927"/>
      <w:r w:rsidRPr="0064706A">
        <w:rPr>
          <w:b/>
          <w:szCs w:val="24"/>
          <w:u w:val="single"/>
        </w:rPr>
        <w:t xml:space="preserve">PHA </w:t>
      </w:r>
      <w:r w:rsidRPr="0064706A">
        <w:rPr>
          <w:rFonts w:eastAsia="Times New Roman"/>
          <w:b/>
          <w:bCs/>
          <w:szCs w:val="24"/>
          <w:u w:val="single"/>
        </w:rPr>
        <w:t>Administration</w:t>
      </w:r>
      <w:r w:rsidRPr="0064706A">
        <w:rPr>
          <w:b/>
          <w:szCs w:val="24"/>
          <w:u w:val="single"/>
        </w:rPr>
        <w:t xml:space="preserve"> of the PBV Contract</w:t>
      </w:r>
      <w:bookmarkEnd w:id="218"/>
    </w:p>
    <w:p w14:paraId="183EE99D" w14:textId="77777777" w:rsidR="00536767" w:rsidRPr="0064706A" w:rsidRDefault="00536767" w:rsidP="00536767">
      <w:pPr>
        <w:keepNext/>
        <w:keepLines/>
        <w:spacing w:after="12"/>
        <w:ind w:left="2700"/>
        <w:contextualSpacing/>
        <w:outlineLvl w:val="1"/>
        <w:rPr>
          <w:b/>
          <w:szCs w:val="24"/>
          <w:u w:val="single"/>
        </w:rPr>
      </w:pPr>
    </w:p>
    <w:p w14:paraId="7F57C52A" w14:textId="4EC26A9B" w:rsidR="00A14DCD" w:rsidRPr="0076299C" w:rsidRDefault="00A14DCD" w:rsidP="00794828">
      <w:pPr>
        <w:numPr>
          <w:ilvl w:val="3"/>
          <w:numId w:val="9"/>
        </w:numPr>
        <w:spacing w:after="12"/>
        <w:ind w:left="360"/>
        <w:rPr>
          <w:rFonts w:eastAsia="Times New Roman"/>
          <w:szCs w:val="24"/>
        </w:rPr>
      </w:pPr>
      <w:r w:rsidRPr="0076299C">
        <w:rPr>
          <w:rFonts w:eastAsia="Times New Roman"/>
          <w:b/>
          <w:szCs w:val="24"/>
        </w:rPr>
        <w:t>Selection of a PHA.</w:t>
      </w:r>
      <w:r w:rsidRPr="0076299C">
        <w:rPr>
          <w:rFonts w:eastAsia="Times New Roman"/>
          <w:szCs w:val="24"/>
        </w:rPr>
        <w:t xml:space="preserve"> For PBV conversions only, HUD will need to identify a PHA able and willing to administer the PBV contract, and the PHA will need to accept the responsibility. Within 30 days of the initial submission, HUD will identify an eligible PHA and request that the PHA provide written consent to administer the PBV contract or decline the request within 30 days of HUD’s request. HUD will communicate the PHA’s response to the </w:t>
      </w:r>
      <w:r w:rsidR="000078CE">
        <w:rPr>
          <w:rFonts w:eastAsia="Times New Roman"/>
          <w:szCs w:val="24"/>
        </w:rPr>
        <w:t>Project Owner</w:t>
      </w:r>
      <w:r w:rsidRPr="0076299C">
        <w:rPr>
          <w:rFonts w:eastAsia="Times New Roman"/>
          <w:szCs w:val="24"/>
        </w:rPr>
        <w:t xml:space="preserve">. </w:t>
      </w:r>
      <w:r w:rsidR="00E533BD" w:rsidRPr="0076299C">
        <w:rPr>
          <w:rFonts w:eastAsia="Times New Roman"/>
          <w:szCs w:val="24"/>
        </w:rPr>
        <w:t xml:space="preserve">Applicants must wait until a PBV HAP Contract administrator has been identified before submitting their Conversion Plan, as the PHA who will act in this capacity must be identified in that plan. </w:t>
      </w:r>
      <w:r w:rsidRPr="0076299C">
        <w:rPr>
          <w:rFonts w:eastAsia="Times New Roman"/>
          <w:szCs w:val="24"/>
        </w:rPr>
        <w:t xml:space="preserve">If no PHA consents to enter into the PBV contract, the </w:t>
      </w:r>
      <w:r w:rsidR="00887E42">
        <w:rPr>
          <w:rFonts w:eastAsia="Times New Roman"/>
          <w:szCs w:val="24"/>
        </w:rPr>
        <w:t>P</w:t>
      </w:r>
      <w:r w:rsidRPr="0076299C">
        <w:rPr>
          <w:rFonts w:eastAsia="Times New Roman"/>
          <w:szCs w:val="24"/>
        </w:rPr>
        <w:t xml:space="preserve">roject cannot convert to PBV, and the </w:t>
      </w:r>
      <w:r w:rsidR="000078CE">
        <w:rPr>
          <w:rFonts w:eastAsia="Times New Roman"/>
          <w:szCs w:val="24"/>
        </w:rPr>
        <w:t>Project Owner</w:t>
      </w:r>
      <w:r w:rsidRPr="0076299C">
        <w:rPr>
          <w:rFonts w:eastAsia="Times New Roman"/>
          <w:szCs w:val="24"/>
        </w:rPr>
        <w:t xml:space="preserve"> may consider conversion to PBRA instead. </w:t>
      </w:r>
    </w:p>
    <w:p w14:paraId="7F57C52B" w14:textId="77777777" w:rsidR="00A14DCD" w:rsidRPr="00077064" w:rsidRDefault="00A14DCD" w:rsidP="00A14DCD">
      <w:pPr>
        <w:spacing w:after="12"/>
        <w:ind w:left="360"/>
        <w:rPr>
          <w:rFonts w:eastAsia="Times New Roman"/>
          <w:szCs w:val="24"/>
        </w:rPr>
      </w:pPr>
    </w:p>
    <w:p w14:paraId="7F57C52C" w14:textId="39F46059" w:rsidR="00A14DCD" w:rsidRPr="00077064" w:rsidRDefault="00A14DCD" w:rsidP="00794828">
      <w:pPr>
        <w:numPr>
          <w:ilvl w:val="3"/>
          <w:numId w:val="9"/>
        </w:numPr>
        <w:spacing w:after="12"/>
        <w:ind w:left="360"/>
        <w:rPr>
          <w:rFonts w:eastAsia="Times New Roman"/>
          <w:szCs w:val="24"/>
        </w:rPr>
      </w:pPr>
      <w:r w:rsidRPr="00077064">
        <w:rPr>
          <w:rFonts w:eastAsia="Times New Roman"/>
          <w:b/>
          <w:szCs w:val="24"/>
        </w:rPr>
        <w:t>Role of Administering PHA.</w:t>
      </w:r>
      <w:r w:rsidRPr="00077064">
        <w:rPr>
          <w:rFonts w:eastAsia="Times New Roman"/>
          <w:szCs w:val="24"/>
        </w:rPr>
        <w:t xml:space="preserve"> The PHA that agrees to administer the PBV contract is responsible for administrative duties described in 24 CFR </w:t>
      </w:r>
      <w:r w:rsidR="00DF6B86">
        <w:rPr>
          <w:rFonts w:eastAsia="Times New Roman"/>
          <w:szCs w:val="24"/>
        </w:rPr>
        <w:t>p</w:t>
      </w:r>
      <w:r w:rsidRPr="00077064">
        <w:rPr>
          <w:rFonts w:eastAsia="Times New Roman"/>
          <w:szCs w:val="24"/>
        </w:rPr>
        <w:t>art 983 and this Notice. Prior to conversion, the PHA’s key roles include:</w:t>
      </w:r>
    </w:p>
    <w:p w14:paraId="7F57C52D" w14:textId="5C350B4A" w:rsidR="00A14DCD" w:rsidRPr="00077064" w:rsidRDefault="00A14DCD" w:rsidP="00794828">
      <w:pPr>
        <w:numPr>
          <w:ilvl w:val="4"/>
          <w:numId w:val="9"/>
        </w:numPr>
        <w:spacing w:after="12"/>
        <w:ind w:left="720"/>
        <w:rPr>
          <w:szCs w:val="24"/>
        </w:rPr>
      </w:pPr>
      <w:r w:rsidRPr="00077064">
        <w:rPr>
          <w:rFonts w:eastAsia="MS Mincho"/>
          <w:b/>
          <w:szCs w:val="24"/>
        </w:rPr>
        <w:t>Pre-Selection Inspection.</w:t>
      </w:r>
      <w:r w:rsidRPr="00077064">
        <w:rPr>
          <w:rFonts w:eastAsia="MS Mincho"/>
          <w:szCs w:val="24"/>
        </w:rPr>
        <w:t xml:space="preserve"> The PHA must ensure that the units substantially </w:t>
      </w:r>
      <w:r w:rsidR="006B1C0E">
        <w:rPr>
          <w:rFonts w:eastAsia="MS Mincho"/>
          <w:szCs w:val="24"/>
        </w:rPr>
        <w:t>comply</w:t>
      </w:r>
      <w:r w:rsidRPr="00077064">
        <w:rPr>
          <w:rFonts w:eastAsia="MS Mincho"/>
          <w:szCs w:val="24"/>
        </w:rPr>
        <w:t xml:space="preserve"> </w:t>
      </w:r>
      <w:r w:rsidR="00312332">
        <w:rPr>
          <w:rFonts w:eastAsia="MS Mincho"/>
          <w:szCs w:val="24"/>
        </w:rPr>
        <w:t xml:space="preserve">with </w:t>
      </w:r>
      <w:r w:rsidRPr="00077064">
        <w:rPr>
          <w:rFonts w:eastAsia="MS Mincho"/>
          <w:szCs w:val="24"/>
        </w:rPr>
        <w:t>HQS, as defined in the PHA’s Section 8 administrative plan</w:t>
      </w:r>
      <w:r w:rsidR="00525EEA">
        <w:rPr>
          <w:rFonts w:eastAsia="MS Mincho"/>
          <w:szCs w:val="24"/>
        </w:rPr>
        <w:t>, prior to submission of the Conversion Plan</w:t>
      </w:r>
      <w:r w:rsidRPr="00077064">
        <w:rPr>
          <w:rFonts w:eastAsia="MS Mincho"/>
          <w:szCs w:val="24"/>
        </w:rPr>
        <w:t>.</w:t>
      </w:r>
    </w:p>
    <w:p w14:paraId="7F57C52E" w14:textId="37C99566" w:rsidR="00A14DCD" w:rsidRPr="00077064" w:rsidRDefault="00A14DCD" w:rsidP="00794828">
      <w:pPr>
        <w:numPr>
          <w:ilvl w:val="4"/>
          <w:numId w:val="9"/>
        </w:numPr>
        <w:spacing w:after="12"/>
        <w:ind w:left="720"/>
        <w:rPr>
          <w:szCs w:val="24"/>
        </w:rPr>
      </w:pPr>
      <w:r w:rsidRPr="00077064">
        <w:rPr>
          <w:b/>
          <w:szCs w:val="24"/>
        </w:rPr>
        <w:t xml:space="preserve">Initial </w:t>
      </w:r>
      <w:r w:rsidR="00536767">
        <w:rPr>
          <w:b/>
          <w:szCs w:val="24"/>
        </w:rPr>
        <w:t>C</w:t>
      </w:r>
      <w:r>
        <w:rPr>
          <w:b/>
          <w:szCs w:val="24"/>
        </w:rPr>
        <w:t xml:space="preserve">ontract </w:t>
      </w:r>
      <w:r w:rsidR="00536767">
        <w:rPr>
          <w:b/>
          <w:szCs w:val="24"/>
        </w:rPr>
        <w:t>R</w:t>
      </w:r>
      <w:r w:rsidRPr="00077064">
        <w:rPr>
          <w:b/>
          <w:szCs w:val="24"/>
        </w:rPr>
        <w:t>ent</w:t>
      </w:r>
      <w:r>
        <w:rPr>
          <w:b/>
          <w:szCs w:val="24"/>
        </w:rPr>
        <w:t xml:space="preserve"> </w:t>
      </w:r>
      <w:r w:rsidR="00536767">
        <w:rPr>
          <w:b/>
          <w:szCs w:val="24"/>
        </w:rPr>
        <w:t>S</w:t>
      </w:r>
      <w:r>
        <w:rPr>
          <w:b/>
          <w:szCs w:val="24"/>
        </w:rPr>
        <w:t>etting</w:t>
      </w:r>
      <w:r w:rsidR="00AD131C">
        <w:rPr>
          <w:b/>
          <w:szCs w:val="24"/>
        </w:rPr>
        <w:t xml:space="preserve">. </w:t>
      </w:r>
      <w:r>
        <w:rPr>
          <w:szCs w:val="24"/>
        </w:rPr>
        <w:t xml:space="preserve">The PHA will determine the initial contract rents pursuant to </w:t>
      </w:r>
      <w:r w:rsidRPr="00077064">
        <w:rPr>
          <w:szCs w:val="24"/>
        </w:rPr>
        <w:t xml:space="preserve">Section </w:t>
      </w:r>
      <w:r w:rsidR="002E370B">
        <w:rPr>
          <w:szCs w:val="24"/>
        </w:rPr>
        <w:t>4</w:t>
      </w:r>
      <w:r w:rsidRPr="00077064">
        <w:rPr>
          <w:szCs w:val="24"/>
        </w:rPr>
        <w:t xml:space="preserve">.5.G. </w:t>
      </w:r>
    </w:p>
    <w:p w14:paraId="7F57C52F" w14:textId="6DB162F4" w:rsidR="00A14DCD" w:rsidRDefault="00A14DCD" w:rsidP="00794828">
      <w:pPr>
        <w:numPr>
          <w:ilvl w:val="4"/>
          <w:numId w:val="9"/>
        </w:numPr>
        <w:spacing w:after="12"/>
        <w:ind w:left="720"/>
        <w:rPr>
          <w:szCs w:val="24"/>
        </w:rPr>
      </w:pPr>
      <w:r w:rsidRPr="00077064">
        <w:rPr>
          <w:b/>
          <w:szCs w:val="24"/>
        </w:rPr>
        <w:t>H</w:t>
      </w:r>
      <w:r w:rsidR="00536767">
        <w:rPr>
          <w:b/>
          <w:szCs w:val="24"/>
        </w:rPr>
        <w:t xml:space="preserve">ousing </w:t>
      </w:r>
      <w:r w:rsidRPr="00077064">
        <w:rPr>
          <w:b/>
          <w:szCs w:val="24"/>
        </w:rPr>
        <w:t>Q</w:t>
      </w:r>
      <w:r w:rsidR="00536767">
        <w:rPr>
          <w:b/>
          <w:szCs w:val="24"/>
        </w:rPr>
        <w:t>uality Standards (HQ</w:t>
      </w:r>
      <w:r w:rsidRPr="00077064">
        <w:rPr>
          <w:b/>
          <w:szCs w:val="24"/>
        </w:rPr>
        <w:t>S</w:t>
      </w:r>
      <w:r w:rsidR="00536767">
        <w:rPr>
          <w:b/>
          <w:szCs w:val="24"/>
        </w:rPr>
        <w:t>)</w:t>
      </w:r>
      <w:r w:rsidRPr="00077064">
        <w:rPr>
          <w:b/>
          <w:szCs w:val="24"/>
        </w:rPr>
        <w:t xml:space="preserve"> </w:t>
      </w:r>
      <w:r w:rsidR="00536767">
        <w:rPr>
          <w:b/>
          <w:szCs w:val="24"/>
        </w:rPr>
        <w:t>I</w:t>
      </w:r>
      <w:r w:rsidRPr="00077064">
        <w:rPr>
          <w:b/>
          <w:szCs w:val="24"/>
        </w:rPr>
        <w:t>nspections.</w:t>
      </w:r>
      <w:r w:rsidRPr="00077064">
        <w:rPr>
          <w:szCs w:val="24"/>
        </w:rPr>
        <w:t xml:space="preserve"> </w:t>
      </w:r>
      <w:r w:rsidR="00525EEA" w:rsidRPr="00077064">
        <w:rPr>
          <w:rFonts w:eastAsia="MS Mincho"/>
          <w:szCs w:val="24"/>
        </w:rPr>
        <w:t>Prior to entering into a PBV HAP Contract, the PHA</w:t>
      </w:r>
      <w:r w:rsidR="00525EEA">
        <w:rPr>
          <w:rFonts w:eastAsia="MS Mincho"/>
          <w:szCs w:val="24"/>
        </w:rPr>
        <w:t xml:space="preserve"> must</w:t>
      </w:r>
      <w:r w:rsidR="00525EEA" w:rsidRPr="00077064">
        <w:rPr>
          <w:rFonts w:eastAsia="MS Mincho"/>
          <w:szCs w:val="24"/>
        </w:rPr>
        <w:t xml:space="preserve"> inspect the </w:t>
      </w:r>
      <w:r w:rsidR="00525EEA">
        <w:rPr>
          <w:rFonts w:eastAsia="MS Mincho"/>
          <w:szCs w:val="24"/>
        </w:rPr>
        <w:t>Converting Project</w:t>
      </w:r>
      <w:r w:rsidR="00525EEA" w:rsidRPr="00077064">
        <w:rPr>
          <w:rFonts w:eastAsia="MS Mincho"/>
          <w:szCs w:val="24"/>
        </w:rPr>
        <w:t xml:space="preserve"> proposed for conversion to ensure that the</w:t>
      </w:r>
      <w:r w:rsidR="00525EEA">
        <w:rPr>
          <w:rFonts w:eastAsia="MS Mincho"/>
          <w:szCs w:val="24"/>
        </w:rPr>
        <w:t xml:space="preserve"> </w:t>
      </w:r>
      <w:r w:rsidR="00525EEA" w:rsidRPr="00077064">
        <w:rPr>
          <w:rFonts w:eastAsia="MS Mincho"/>
          <w:szCs w:val="24"/>
        </w:rPr>
        <w:t>units fully</w:t>
      </w:r>
      <w:r w:rsidR="00525EEA">
        <w:rPr>
          <w:rFonts w:eastAsia="MS Mincho"/>
          <w:szCs w:val="24"/>
        </w:rPr>
        <w:t xml:space="preserve"> comply</w:t>
      </w:r>
      <w:r w:rsidR="00525EEA" w:rsidRPr="00077064">
        <w:rPr>
          <w:rFonts w:eastAsia="MS Mincho"/>
          <w:szCs w:val="24"/>
        </w:rPr>
        <w:t xml:space="preserve"> with HQS</w:t>
      </w:r>
      <w:r w:rsidR="00525EEA">
        <w:rPr>
          <w:rFonts w:eastAsia="MS Mincho"/>
          <w:szCs w:val="24"/>
        </w:rPr>
        <w:t>,</w:t>
      </w:r>
      <w:r w:rsidR="00536767">
        <w:rPr>
          <w:rStyle w:val="FootnoteReference"/>
          <w:rFonts w:eastAsia="MS Mincho"/>
          <w:szCs w:val="24"/>
        </w:rPr>
        <w:footnoteReference w:id="21"/>
      </w:r>
      <w:r w:rsidR="00525EEA">
        <w:rPr>
          <w:rFonts w:eastAsia="MS Mincho"/>
          <w:szCs w:val="24"/>
        </w:rPr>
        <w:t xml:space="preserve"> unless the PHA is using HOTMA non-life threatening and alternative inspection provisions</w:t>
      </w:r>
      <w:r w:rsidR="00165FA2">
        <w:rPr>
          <w:rFonts w:eastAsia="MS Mincho"/>
          <w:szCs w:val="24"/>
        </w:rPr>
        <w:t>.</w:t>
      </w:r>
      <w:r w:rsidR="00165FA2" w:rsidRPr="00077064" w:rsidDel="00525EEA">
        <w:rPr>
          <w:szCs w:val="24"/>
        </w:rPr>
        <w:t xml:space="preserve"> </w:t>
      </w:r>
      <w:r w:rsidR="00300D50">
        <w:rPr>
          <w:rStyle w:val="FootnoteReference"/>
          <w:szCs w:val="24"/>
        </w:rPr>
        <w:footnoteReference w:id="22"/>
      </w:r>
    </w:p>
    <w:p w14:paraId="7F57C530" w14:textId="77777777" w:rsidR="00A14DCD" w:rsidRPr="00077064" w:rsidRDefault="00A14DCD" w:rsidP="00A14DCD">
      <w:pPr>
        <w:spacing w:after="12"/>
        <w:ind w:left="720"/>
        <w:rPr>
          <w:szCs w:val="24"/>
        </w:rPr>
      </w:pPr>
    </w:p>
    <w:p w14:paraId="7F57C531" w14:textId="0586916E" w:rsidR="00A625BF" w:rsidRDefault="00A14DCD" w:rsidP="00794828">
      <w:pPr>
        <w:keepNext/>
        <w:keepLines/>
        <w:numPr>
          <w:ilvl w:val="2"/>
          <w:numId w:val="21"/>
        </w:numPr>
        <w:spacing w:after="12"/>
        <w:contextualSpacing/>
        <w:outlineLvl w:val="1"/>
        <w:rPr>
          <w:rFonts w:eastAsia="Times New Roman"/>
          <w:b/>
          <w:bCs/>
          <w:szCs w:val="24"/>
          <w:u w:val="single"/>
        </w:rPr>
      </w:pPr>
      <w:bookmarkStart w:id="219" w:name="_Toc416357164"/>
      <w:bookmarkStart w:id="220" w:name="_Toc416419320"/>
      <w:bookmarkStart w:id="221" w:name="_Toc421888928"/>
      <w:r w:rsidRPr="0064706A">
        <w:rPr>
          <w:rFonts w:eastAsia="Times New Roman"/>
          <w:b/>
          <w:bCs/>
          <w:szCs w:val="24"/>
          <w:u w:val="single"/>
        </w:rPr>
        <w:t xml:space="preserve">Resident </w:t>
      </w:r>
      <w:r w:rsidRPr="0064706A">
        <w:rPr>
          <w:b/>
          <w:szCs w:val="24"/>
          <w:u w:val="single"/>
        </w:rPr>
        <w:t>Notification</w:t>
      </w:r>
      <w:r w:rsidRPr="0064706A">
        <w:rPr>
          <w:rFonts w:eastAsia="Times New Roman"/>
          <w:b/>
          <w:bCs/>
          <w:szCs w:val="24"/>
          <w:u w:val="single"/>
        </w:rPr>
        <w:t xml:space="preserve"> and Consultation</w:t>
      </w:r>
      <w:bookmarkEnd w:id="210"/>
      <w:bookmarkEnd w:id="211"/>
      <w:bookmarkEnd w:id="212"/>
      <w:bookmarkEnd w:id="219"/>
      <w:bookmarkEnd w:id="220"/>
      <w:bookmarkEnd w:id="221"/>
    </w:p>
    <w:p w14:paraId="1685CB5B" w14:textId="77777777" w:rsidR="00A843AE" w:rsidRPr="0064706A" w:rsidRDefault="00A843AE" w:rsidP="00A843AE">
      <w:pPr>
        <w:keepNext/>
        <w:keepLines/>
        <w:spacing w:after="12"/>
        <w:ind w:left="2700"/>
        <w:contextualSpacing/>
        <w:outlineLvl w:val="1"/>
        <w:rPr>
          <w:rFonts w:eastAsia="Times New Roman"/>
          <w:b/>
          <w:bCs/>
          <w:szCs w:val="24"/>
          <w:u w:val="single"/>
        </w:rPr>
      </w:pPr>
    </w:p>
    <w:p w14:paraId="7F57C532" w14:textId="1325EFE9" w:rsidR="00A14DCD" w:rsidRPr="00FA5CB8" w:rsidRDefault="00A14DCD" w:rsidP="00794828">
      <w:pPr>
        <w:keepNext/>
        <w:keepLines/>
        <w:numPr>
          <w:ilvl w:val="0"/>
          <w:numId w:val="11"/>
        </w:numPr>
        <w:spacing w:after="12"/>
        <w:rPr>
          <w:szCs w:val="24"/>
        </w:rPr>
      </w:pPr>
      <w:bookmarkStart w:id="222" w:name="_Toc318124811"/>
      <w:r w:rsidRPr="00FA5CB8">
        <w:rPr>
          <w:b/>
          <w:szCs w:val="24"/>
        </w:rPr>
        <w:t>Resident Notification</w:t>
      </w:r>
      <w:r w:rsidR="00FA5CB8" w:rsidRPr="00FA5CB8">
        <w:rPr>
          <w:b/>
          <w:szCs w:val="24"/>
        </w:rPr>
        <w:t xml:space="preserve">. </w:t>
      </w:r>
      <w:r w:rsidRPr="00FA5CB8">
        <w:rPr>
          <w:szCs w:val="24"/>
        </w:rPr>
        <w:t xml:space="preserve">For all conversions, a </w:t>
      </w:r>
      <w:r w:rsidR="000078CE">
        <w:rPr>
          <w:szCs w:val="24"/>
        </w:rPr>
        <w:t>Project Owner</w:t>
      </w:r>
      <w:r w:rsidRPr="00FA5CB8">
        <w:rPr>
          <w:szCs w:val="24"/>
        </w:rPr>
        <w:t xml:space="preserve"> is required to notify residents in writing of its intent to participate in </w:t>
      </w:r>
      <w:r w:rsidR="001E0F1E">
        <w:rPr>
          <w:szCs w:val="24"/>
        </w:rPr>
        <w:t>RAD</w:t>
      </w:r>
      <w:r w:rsidRPr="00FA5CB8">
        <w:rPr>
          <w:szCs w:val="24"/>
        </w:rPr>
        <w:t xml:space="preserve"> and </w:t>
      </w:r>
      <w:r w:rsidR="00425CA6">
        <w:rPr>
          <w:szCs w:val="24"/>
        </w:rPr>
        <w:t xml:space="preserve">is required </w:t>
      </w:r>
      <w:r w:rsidRPr="00FA5CB8">
        <w:rPr>
          <w:szCs w:val="24"/>
        </w:rPr>
        <w:t xml:space="preserve">to hold </w:t>
      </w:r>
      <w:r w:rsidR="00312332">
        <w:rPr>
          <w:szCs w:val="24"/>
        </w:rPr>
        <w:t xml:space="preserve">at least </w:t>
      </w:r>
      <w:r w:rsidRPr="00FA5CB8">
        <w:rPr>
          <w:szCs w:val="24"/>
        </w:rPr>
        <w:t>two meeting</w:t>
      </w:r>
      <w:r w:rsidR="00FA5CB8">
        <w:rPr>
          <w:szCs w:val="24"/>
        </w:rPr>
        <w:t>s</w:t>
      </w:r>
      <w:r w:rsidRPr="00FA5CB8">
        <w:rPr>
          <w:szCs w:val="24"/>
        </w:rPr>
        <w:t xml:space="preserve"> with residents.</w:t>
      </w:r>
      <w:r w:rsidRPr="00077064">
        <w:rPr>
          <w:szCs w:val="24"/>
          <w:vertAlign w:val="superscript"/>
        </w:rPr>
        <w:footnoteReference w:id="23"/>
      </w:r>
      <w:r w:rsidRPr="00FA5CB8">
        <w:rPr>
          <w:szCs w:val="24"/>
        </w:rPr>
        <w:t xml:space="preserve"> The Notification letter must:</w:t>
      </w:r>
    </w:p>
    <w:p w14:paraId="7F57C533" w14:textId="2E341039" w:rsidR="00A14DCD" w:rsidRPr="00077064" w:rsidRDefault="003337D3" w:rsidP="00794828">
      <w:pPr>
        <w:numPr>
          <w:ilvl w:val="1"/>
          <w:numId w:val="7"/>
        </w:numPr>
        <w:tabs>
          <w:tab w:val="num" w:pos="720"/>
        </w:tabs>
        <w:spacing w:after="12"/>
        <w:ind w:left="720"/>
        <w:rPr>
          <w:rFonts w:eastAsia="Times New Roman"/>
          <w:szCs w:val="24"/>
        </w:rPr>
      </w:pPr>
      <w:r>
        <w:rPr>
          <w:rFonts w:eastAsia="Times New Roman"/>
          <w:szCs w:val="24"/>
        </w:rPr>
        <w:t>B</w:t>
      </w:r>
      <w:r w:rsidR="00A14DCD" w:rsidRPr="00077064">
        <w:rPr>
          <w:rFonts w:eastAsia="Times New Roman"/>
          <w:szCs w:val="24"/>
        </w:rPr>
        <w:t xml:space="preserve">e delivered to all </w:t>
      </w:r>
      <w:r w:rsidR="00425CA6">
        <w:rPr>
          <w:rFonts w:eastAsia="Times New Roman"/>
          <w:szCs w:val="24"/>
        </w:rPr>
        <w:t xml:space="preserve">Converting </w:t>
      </w:r>
      <w:r w:rsidR="00887E42">
        <w:rPr>
          <w:rFonts w:eastAsia="Times New Roman"/>
          <w:szCs w:val="24"/>
        </w:rPr>
        <w:t>P</w:t>
      </w:r>
      <w:r w:rsidR="00A14DCD" w:rsidRPr="00077064">
        <w:rPr>
          <w:rFonts w:eastAsia="Times New Roman"/>
          <w:szCs w:val="24"/>
        </w:rPr>
        <w:t xml:space="preserve">roject residents, including each </w:t>
      </w:r>
      <w:r w:rsidR="00165BDC">
        <w:rPr>
          <w:rFonts w:eastAsia="Times New Roman"/>
          <w:szCs w:val="24"/>
        </w:rPr>
        <w:t>PRAC</w:t>
      </w:r>
      <w:r w:rsidR="00A14DCD" w:rsidRPr="00077064">
        <w:rPr>
          <w:rFonts w:eastAsia="Times New Roman"/>
          <w:szCs w:val="24"/>
        </w:rPr>
        <w:t>–assisted household, as well as posted in the</w:t>
      </w:r>
      <w:r w:rsidR="00425CA6" w:rsidRPr="00425CA6">
        <w:rPr>
          <w:rFonts w:eastAsia="Times New Roman"/>
          <w:szCs w:val="24"/>
        </w:rPr>
        <w:t xml:space="preserve"> </w:t>
      </w:r>
      <w:r w:rsidR="00425CA6">
        <w:rPr>
          <w:rFonts w:eastAsia="Times New Roman"/>
          <w:szCs w:val="24"/>
        </w:rPr>
        <w:t>Converting</w:t>
      </w:r>
      <w:r w:rsidR="00A14DCD" w:rsidRPr="00077064">
        <w:rPr>
          <w:rFonts w:eastAsia="Times New Roman"/>
          <w:szCs w:val="24"/>
        </w:rPr>
        <w:t xml:space="preserve"> </w:t>
      </w:r>
      <w:r w:rsidR="00887E42">
        <w:rPr>
          <w:rFonts w:eastAsia="Times New Roman"/>
          <w:szCs w:val="24"/>
        </w:rPr>
        <w:t>P</w:t>
      </w:r>
      <w:r w:rsidR="00A14DCD" w:rsidRPr="00077064">
        <w:rPr>
          <w:rFonts w:eastAsia="Times New Roman"/>
          <w:szCs w:val="24"/>
        </w:rPr>
        <w:t xml:space="preserve">roject office or other common area, and at no fewer than three prominent locations on the </w:t>
      </w:r>
      <w:r w:rsidR="00425CA6">
        <w:rPr>
          <w:rFonts w:eastAsia="Times New Roman"/>
          <w:szCs w:val="24"/>
        </w:rPr>
        <w:t xml:space="preserve">Converting </w:t>
      </w:r>
      <w:r w:rsidR="00887E42">
        <w:rPr>
          <w:rFonts w:eastAsia="Times New Roman"/>
          <w:szCs w:val="24"/>
        </w:rPr>
        <w:t>P</w:t>
      </w:r>
      <w:r w:rsidR="00A14DCD" w:rsidRPr="00077064">
        <w:rPr>
          <w:rFonts w:eastAsia="Times New Roman"/>
          <w:szCs w:val="24"/>
        </w:rPr>
        <w:t>roject site;</w:t>
      </w:r>
    </w:p>
    <w:p w14:paraId="7F57C534" w14:textId="24500DF4" w:rsidR="00A14DCD" w:rsidRPr="00077064" w:rsidRDefault="003337D3" w:rsidP="00794828">
      <w:pPr>
        <w:numPr>
          <w:ilvl w:val="1"/>
          <w:numId w:val="7"/>
        </w:numPr>
        <w:tabs>
          <w:tab w:val="num" w:pos="720"/>
        </w:tabs>
        <w:spacing w:after="12"/>
        <w:ind w:left="720"/>
        <w:rPr>
          <w:rFonts w:eastAsia="Times New Roman"/>
          <w:szCs w:val="24"/>
        </w:rPr>
      </w:pPr>
      <w:r>
        <w:rPr>
          <w:rFonts w:eastAsia="Times New Roman"/>
          <w:szCs w:val="24"/>
        </w:rPr>
        <w:t>In</w:t>
      </w:r>
      <w:r w:rsidR="00A14DCD" w:rsidRPr="00077064">
        <w:rPr>
          <w:rFonts w:eastAsia="Times New Roman"/>
          <w:szCs w:val="24"/>
        </w:rPr>
        <w:t xml:space="preserve">clude the date and time of </w:t>
      </w:r>
      <w:r w:rsidR="00425CA6">
        <w:rPr>
          <w:rFonts w:eastAsia="Times New Roman"/>
          <w:szCs w:val="24"/>
        </w:rPr>
        <w:t xml:space="preserve">the </w:t>
      </w:r>
      <w:r w:rsidR="00A14DCD" w:rsidRPr="00077064">
        <w:rPr>
          <w:rFonts w:eastAsia="Times New Roman"/>
          <w:szCs w:val="24"/>
        </w:rPr>
        <w:t>resident briefings;</w:t>
      </w:r>
    </w:p>
    <w:p w14:paraId="7F57C535" w14:textId="239AD727" w:rsidR="00A14DCD" w:rsidRPr="00077064" w:rsidRDefault="003337D3" w:rsidP="00794828">
      <w:pPr>
        <w:numPr>
          <w:ilvl w:val="1"/>
          <w:numId w:val="7"/>
        </w:numPr>
        <w:tabs>
          <w:tab w:val="num" w:pos="720"/>
        </w:tabs>
        <w:spacing w:after="12"/>
        <w:ind w:left="720"/>
        <w:rPr>
          <w:rFonts w:eastAsia="Times New Roman"/>
          <w:szCs w:val="24"/>
        </w:rPr>
      </w:pPr>
      <w:r>
        <w:rPr>
          <w:rFonts w:eastAsia="Times New Roman"/>
          <w:szCs w:val="24"/>
        </w:rPr>
        <w:t>I</w:t>
      </w:r>
      <w:r w:rsidR="00A14DCD" w:rsidRPr="00077064">
        <w:rPr>
          <w:rFonts w:eastAsia="Times New Roman"/>
          <w:szCs w:val="24"/>
        </w:rPr>
        <w:t xml:space="preserve">nclude </w:t>
      </w:r>
      <w:r w:rsidR="00127972" w:rsidRPr="00077064">
        <w:rPr>
          <w:rFonts w:eastAsia="Times New Roman"/>
          <w:szCs w:val="24"/>
        </w:rPr>
        <w:t>a</w:t>
      </w:r>
      <w:r w:rsidR="00127972">
        <w:rPr>
          <w:rFonts w:eastAsia="Times New Roman"/>
          <w:szCs w:val="24"/>
        </w:rPr>
        <w:t>n estimated</w:t>
      </w:r>
      <w:r w:rsidR="00A14DCD" w:rsidRPr="00077064">
        <w:rPr>
          <w:rFonts w:eastAsia="Times New Roman"/>
          <w:szCs w:val="24"/>
        </w:rPr>
        <w:t xml:space="preserve"> date of </w:t>
      </w:r>
      <w:r w:rsidR="00127972">
        <w:rPr>
          <w:rFonts w:eastAsia="Times New Roman"/>
          <w:szCs w:val="24"/>
        </w:rPr>
        <w:t>conversion to either</w:t>
      </w:r>
      <w:r w:rsidR="00A14DCD" w:rsidRPr="00077064">
        <w:rPr>
          <w:rFonts w:eastAsia="Times New Roman"/>
          <w:szCs w:val="24"/>
        </w:rPr>
        <w:t xml:space="preserve"> a PBV or PBRA HAP Contract;</w:t>
      </w:r>
    </w:p>
    <w:p w14:paraId="7F57C536" w14:textId="0B6409AB" w:rsidR="00A14DCD" w:rsidRDefault="003337D3" w:rsidP="00794828">
      <w:pPr>
        <w:numPr>
          <w:ilvl w:val="1"/>
          <w:numId w:val="7"/>
        </w:numPr>
        <w:tabs>
          <w:tab w:val="num" w:pos="720"/>
        </w:tabs>
        <w:spacing w:after="12"/>
        <w:ind w:left="720"/>
        <w:rPr>
          <w:rFonts w:eastAsia="Times New Roman"/>
          <w:szCs w:val="24"/>
        </w:rPr>
      </w:pPr>
      <w:r>
        <w:rPr>
          <w:rFonts w:eastAsia="Times New Roman"/>
          <w:szCs w:val="24"/>
        </w:rPr>
        <w:t>I</w:t>
      </w:r>
      <w:r w:rsidR="00A14DCD">
        <w:rPr>
          <w:rFonts w:eastAsia="Times New Roman"/>
          <w:szCs w:val="24"/>
        </w:rPr>
        <w:t xml:space="preserve">nclude a description of any proposed </w:t>
      </w:r>
      <w:r w:rsidR="001C7D0D">
        <w:rPr>
          <w:rFonts w:eastAsia="Times New Roman"/>
          <w:szCs w:val="24"/>
        </w:rPr>
        <w:t xml:space="preserve">change in ownership, </w:t>
      </w:r>
      <w:r w:rsidR="00A14DCD">
        <w:rPr>
          <w:rFonts w:eastAsia="Times New Roman"/>
          <w:szCs w:val="24"/>
        </w:rPr>
        <w:t>rehabilitation</w:t>
      </w:r>
      <w:r w:rsidR="001C7D0D">
        <w:rPr>
          <w:rFonts w:eastAsia="Times New Roman"/>
          <w:szCs w:val="24"/>
        </w:rPr>
        <w:t xml:space="preserve">, </w:t>
      </w:r>
      <w:r w:rsidR="00A14DCD">
        <w:rPr>
          <w:rFonts w:eastAsia="Times New Roman"/>
          <w:szCs w:val="24"/>
        </w:rPr>
        <w:t>construction</w:t>
      </w:r>
      <w:r w:rsidR="001C7D0D">
        <w:rPr>
          <w:rFonts w:eastAsia="Times New Roman"/>
          <w:szCs w:val="24"/>
        </w:rPr>
        <w:t xml:space="preserve">, or transfer of assistance associated with the conversion; </w:t>
      </w:r>
    </w:p>
    <w:p w14:paraId="48BF743D" w14:textId="5A2B139A" w:rsidR="001C7D0D" w:rsidRDefault="001C7D0D" w:rsidP="00794828">
      <w:pPr>
        <w:numPr>
          <w:ilvl w:val="1"/>
          <w:numId w:val="7"/>
        </w:numPr>
        <w:tabs>
          <w:tab w:val="num" w:pos="720"/>
        </w:tabs>
        <w:spacing w:after="12"/>
        <w:ind w:left="720"/>
        <w:rPr>
          <w:rFonts w:eastAsia="Times New Roman"/>
          <w:szCs w:val="24"/>
        </w:rPr>
      </w:pPr>
      <w:r>
        <w:rPr>
          <w:rFonts w:eastAsia="Times New Roman"/>
          <w:szCs w:val="24"/>
        </w:rPr>
        <w:t>Include a description of any change in ownership or transfer of assistance;</w:t>
      </w:r>
    </w:p>
    <w:p w14:paraId="7F57C537" w14:textId="3A821A41" w:rsidR="00A14DCD" w:rsidRPr="00077064" w:rsidRDefault="003337D3" w:rsidP="00794828">
      <w:pPr>
        <w:numPr>
          <w:ilvl w:val="1"/>
          <w:numId w:val="7"/>
        </w:numPr>
        <w:tabs>
          <w:tab w:val="num" w:pos="720"/>
        </w:tabs>
        <w:spacing w:after="12"/>
        <w:ind w:left="720"/>
        <w:rPr>
          <w:rFonts w:eastAsia="Times New Roman"/>
          <w:szCs w:val="24"/>
        </w:rPr>
      </w:pPr>
      <w:r>
        <w:rPr>
          <w:rFonts w:eastAsia="Times New Roman"/>
          <w:szCs w:val="24"/>
        </w:rPr>
        <w:t>S</w:t>
      </w:r>
      <w:r w:rsidR="00A14DCD" w:rsidRPr="00077064">
        <w:rPr>
          <w:rFonts w:eastAsia="Times New Roman"/>
          <w:szCs w:val="24"/>
        </w:rPr>
        <w:t xml:space="preserve">tate the </w:t>
      </w:r>
      <w:r w:rsidR="000078CE">
        <w:rPr>
          <w:rFonts w:eastAsia="Times New Roman"/>
          <w:szCs w:val="24"/>
        </w:rPr>
        <w:t>Project Owner</w:t>
      </w:r>
      <w:r w:rsidR="00A14DCD" w:rsidRPr="00077064">
        <w:rPr>
          <w:rFonts w:eastAsia="Times New Roman"/>
          <w:szCs w:val="24"/>
        </w:rPr>
        <w:t>’s plan for relocation, if applicable</w:t>
      </w:r>
      <w:r>
        <w:rPr>
          <w:rFonts w:eastAsia="Times New Roman"/>
          <w:szCs w:val="24"/>
        </w:rPr>
        <w:t>,</w:t>
      </w:r>
      <w:r w:rsidR="00A14DCD" w:rsidRPr="00077064">
        <w:rPr>
          <w:rFonts w:eastAsia="Times New Roman"/>
          <w:szCs w:val="24"/>
        </w:rPr>
        <w:t xml:space="preserve"> as a result of rehabilitation or construction, including the expected length of the relocation, </w:t>
      </w:r>
      <w:r w:rsidR="00425CA6">
        <w:rPr>
          <w:rFonts w:eastAsia="Times New Roman"/>
          <w:szCs w:val="24"/>
        </w:rPr>
        <w:t xml:space="preserve">the temporary nature of the relocation, the </w:t>
      </w:r>
      <w:r w:rsidR="00A14DCD" w:rsidRPr="00077064">
        <w:rPr>
          <w:rFonts w:eastAsia="Times New Roman"/>
          <w:szCs w:val="24"/>
        </w:rPr>
        <w:t xml:space="preserve">household’s right to return, and the </w:t>
      </w:r>
      <w:r w:rsidR="000078CE">
        <w:rPr>
          <w:rFonts w:eastAsia="Times New Roman"/>
          <w:szCs w:val="24"/>
        </w:rPr>
        <w:t>Project Owner</w:t>
      </w:r>
      <w:r w:rsidR="00A14DCD" w:rsidRPr="00077064">
        <w:rPr>
          <w:rFonts w:eastAsia="Times New Roman"/>
          <w:szCs w:val="24"/>
        </w:rPr>
        <w:t>’s responsibility for covering relocation costs; and</w:t>
      </w:r>
    </w:p>
    <w:p w14:paraId="7F57C538" w14:textId="638F7D2A" w:rsidR="00A14DCD" w:rsidRPr="00077064" w:rsidRDefault="003337D3" w:rsidP="00794828">
      <w:pPr>
        <w:numPr>
          <w:ilvl w:val="1"/>
          <w:numId w:val="7"/>
        </w:numPr>
        <w:tabs>
          <w:tab w:val="num" w:pos="720"/>
        </w:tabs>
        <w:spacing w:after="12"/>
        <w:ind w:left="720"/>
        <w:rPr>
          <w:rFonts w:eastAsia="Times New Roman"/>
          <w:szCs w:val="24"/>
        </w:rPr>
      </w:pPr>
      <w:r>
        <w:rPr>
          <w:rFonts w:eastAsia="Times New Roman"/>
          <w:szCs w:val="24"/>
        </w:rPr>
        <w:t>S</w:t>
      </w:r>
      <w:r w:rsidR="00A14DCD" w:rsidRPr="00077064">
        <w:rPr>
          <w:rFonts w:eastAsia="Times New Roman"/>
          <w:szCs w:val="24"/>
        </w:rPr>
        <w:t xml:space="preserve">upply information on the method to submit comments to the </w:t>
      </w:r>
      <w:r w:rsidR="000078CE">
        <w:rPr>
          <w:rFonts w:eastAsia="Times New Roman"/>
          <w:szCs w:val="24"/>
        </w:rPr>
        <w:t>Project Owner</w:t>
      </w:r>
      <w:r w:rsidR="00A14DCD" w:rsidRPr="00077064">
        <w:rPr>
          <w:rFonts w:eastAsia="Times New Roman"/>
          <w:szCs w:val="24"/>
        </w:rPr>
        <w:t xml:space="preserve"> and provide for a 30-day comment period.</w:t>
      </w:r>
    </w:p>
    <w:p w14:paraId="7F57C539" w14:textId="77777777" w:rsidR="00A14DCD" w:rsidRPr="00077064" w:rsidRDefault="00A14DCD" w:rsidP="00A14DCD">
      <w:pPr>
        <w:spacing w:after="12"/>
        <w:ind w:left="720"/>
        <w:rPr>
          <w:rFonts w:eastAsia="Times New Roman"/>
          <w:szCs w:val="24"/>
        </w:rPr>
      </w:pPr>
    </w:p>
    <w:p w14:paraId="7F57C53A" w14:textId="22B3A75D" w:rsidR="00A14DCD" w:rsidRPr="00077064" w:rsidRDefault="00A14DCD" w:rsidP="00A14DCD">
      <w:pPr>
        <w:spacing w:after="12"/>
        <w:rPr>
          <w:szCs w:val="24"/>
        </w:rPr>
      </w:pPr>
      <w:r w:rsidRPr="00077064">
        <w:rPr>
          <w:szCs w:val="24"/>
        </w:rPr>
        <w:t xml:space="preserve">The </w:t>
      </w:r>
      <w:r w:rsidR="000078CE">
        <w:rPr>
          <w:szCs w:val="24"/>
        </w:rPr>
        <w:t>Project Owner</w:t>
      </w:r>
      <w:r w:rsidRPr="00077064">
        <w:rPr>
          <w:szCs w:val="24"/>
        </w:rPr>
        <w:t xml:space="preserve"> must conduct two resident meetings with all affected residents and provide the residents with an opportunity to comment on the conversion. The purpose of the resident meeting is to provide residents with greater detail related to the conversion, including rehabilitation plans (if applicable), relocation (if applicable), and PBV or PBRA program rules that may differ from </w:t>
      </w:r>
      <w:r w:rsidR="00165BDC">
        <w:rPr>
          <w:szCs w:val="24"/>
        </w:rPr>
        <w:t>PRAC</w:t>
      </w:r>
      <w:r w:rsidRPr="00077064">
        <w:rPr>
          <w:szCs w:val="24"/>
        </w:rPr>
        <w:t xml:space="preserve"> rules.</w:t>
      </w:r>
      <w:r>
        <w:rPr>
          <w:szCs w:val="24"/>
        </w:rPr>
        <w:t xml:space="preserve"> The </w:t>
      </w:r>
      <w:r w:rsidR="000078CE">
        <w:rPr>
          <w:szCs w:val="24"/>
        </w:rPr>
        <w:t>Project Owner</w:t>
      </w:r>
      <w:r>
        <w:rPr>
          <w:szCs w:val="24"/>
        </w:rPr>
        <w:t xml:space="preserve"> must hold an additional meeting when there has been a material change that was not already discussed in a previous meeting. </w:t>
      </w:r>
    </w:p>
    <w:p w14:paraId="7F57C53B" w14:textId="77777777" w:rsidR="00A14DCD" w:rsidRPr="00077064" w:rsidRDefault="00A14DCD" w:rsidP="00A14DCD">
      <w:pPr>
        <w:spacing w:after="12"/>
        <w:rPr>
          <w:szCs w:val="24"/>
        </w:rPr>
      </w:pPr>
    </w:p>
    <w:p w14:paraId="7F57C53C" w14:textId="5F897760" w:rsidR="00A14DCD" w:rsidRPr="00077064" w:rsidRDefault="00A14DCD" w:rsidP="00A14DCD">
      <w:pPr>
        <w:spacing w:after="12"/>
        <w:rPr>
          <w:szCs w:val="24"/>
        </w:rPr>
      </w:pPr>
      <w:r w:rsidRPr="00077064">
        <w:rPr>
          <w:szCs w:val="24"/>
        </w:rPr>
        <w:t>When providing resident notification</w:t>
      </w:r>
      <w:r w:rsidR="003337D3">
        <w:rPr>
          <w:szCs w:val="24"/>
        </w:rPr>
        <w:t>s</w:t>
      </w:r>
      <w:r w:rsidRPr="00077064">
        <w:rPr>
          <w:szCs w:val="24"/>
        </w:rPr>
        <w:t xml:space="preserve"> and </w:t>
      </w:r>
      <w:r w:rsidR="003337D3">
        <w:rPr>
          <w:szCs w:val="24"/>
        </w:rPr>
        <w:t xml:space="preserve">conducting resident </w:t>
      </w:r>
      <w:r w:rsidRPr="00077064">
        <w:rPr>
          <w:szCs w:val="24"/>
        </w:rPr>
        <w:t xml:space="preserve">meetings, </w:t>
      </w:r>
      <w:r w:rsidR="003337D3">
        <w:rPr>
          <w:szCs w:val="24"/>
        </w:rPr>
        <w:t>the</w:t>
      </w:r>
      <w:r w:rsidRPr="00077064">
        <w:rPr>
          <w:szCs w:val="24"/>
        </w:rPr>
        <w:t xml:space="preserve"> </w:t>
      </w:r>
      <w:r w:rsidR="000078CE">
        <w:rPr>
          <w:szCs w:val="24"/>
        </w:rPr>
        <w:t>Project Owner</w:t>
      </w:r>
      <w:r w:rsidRPr="00077064">
        <w:rPr>
          <w:szCs w:val="24"/>
        </w:rPr>
        <w:t xml:space="preserve"> must use effective communication for persons with hearing, visual, and other communication-related disabilities consistent with Section 504 of the Rehabilitation Act of 1973 and, as applicable, the Americans with Disabilities Act of 1990. Effective communication includes, but is not limited to, providing written materials in appropriate alternative formats (e.g., Braille, large type), as needed, and providing sign language interpreters and assistive listening devices at resident meetings, as needed (24 CFR </w:t>
      </w:r>
      <w:r w:rsidR="00536767">
        <w:rPr>
          <w:szCs w:val="24"/>
        </w:rPr>
        <w:t>§</w:t>
      </w:r>
      <w:r w:rsidRPr="00077064">
        <w:rPr>
          <w:szCs w:val="24"/>
        </w:rPr>
        <w:t xml:space="preserve"> 8.6). Additionally, resident meetings must be held in facilities that are physically accessible to persons with disabilities. Where physical accessibility is not achievable, a </w:t>
      </w:r>
      <w:r w:rsidR="000078CE">
        <w:rPr>
          <w:szCs w:val="24"/>
        </w:rPr>
        <w:t>Project Owner</w:t>
      </w:r>
      <w:r w:rsidRPr="00077064">
        <w:rPr>
          <w:szCs w:val="24"/>
        </w:rPr>
        <w:t xml:space="preserve"> must use alternative methods to meet with qualified individuals with disabilities, such as holding meetings at an alternate accessible site or offering in-home meetings. Such meetings must be provided in the most integrated setting appropriate to the needs of qualified individuals with disabilities in a setting that enable</w:t>
      </w:r>
      <w:r w:rsidR="008F16C0">
        <w:rPr>
          <w:szCs w:val="24"/>
        </w:rPr>
        <w:t>s</w:t>
      </w:r>
      <w:r w:rsidRPr="00077064">
        <w:rPr>
          <w:szCs w:val="24"/>
        </w:rPr>
        <w:t xml:space="preserve"> individuals with disabilities to interact with nondisabled persons to the fullest extent possible (28 CFR part 35, Appendix B).</w:t>
      </w:r>
    </w:p>
    <w:p w14:paraId="7F57C53D" w14:textId="77777777" w:rsidR="00A14DCD" w:rsidRPr="00077064" w:rsidRDefault="00A14DCD" w:rsidP="00A14DCD">
      <w:pPr>
        <w:spacing w:after="12"/>
        <w:rPr>
          <w:szCs w:val="24"/>
        </w:rPr>
      </w:pPr>
    </w:p>
    <w:p w14:paraId="7F57C53E" w14:textId="28351A75" w:rsidR="00A14DCD" w:rsidRPr="00077064" w:rsidRDefault="00A14DCD" w:rsidP="00A14DCD">
      <w:pPr>
        <w:spacing w:after="12"/>
        <w:rPr>
          <w:szCs w:val="24"/>
        </w:rPr>
      </w:pPr>
      <w:r w:rsidRPr="00077064">
        <w:rPr>
          <w:szCs w:val="24"/>
        </w:rPr>
        <w:t xml:space="preserve">Additionally, </w:t>
      </w:r>
      <w:r w:rsidR="003337D3">
        <w:rPr>
          <w:szCs w:val="24"/>
        </w:rPr>
        <w:t>the</w:t>
      </w:r>
      <w:r w:rsidRPr="00077064">
        <w:rPr>
          <w:szCs w:val="24"/>
        </w:rPr>
        <w:t xml:space="preserve"> </w:t>
      </w:r>
      <w:r w:rsidR="000078CE">
        <w:rPr>
          <w:szCs w:val="24"/>
        </w:rPr>
        <w:t>Project Owner</w:t>
      </w:r>
      <w:r w:rsidRPr="00077064">
        <w:rPr>
          <w:szCs w:val="24"/>
        </w:rPr>
        <w:t xml:space="preserve"> must provide meaningful access to its programs and activities for persons who have a limited ability to read, speak, or understand English. For </w:t>
      </w:r>
      <w:r w:rsidR="00887E42">
        <w:rPr>
          <w:szCs w:val="24"/>
        </w:rPr>
        <w:t>P</w:t>
      </w:r>
      <w:r w:rsidRPr="00077064">
        <w:rPr>
          <w:szCs w:val="24"/>
        </w:rPr>
        <w:t xml:space="preserve">rojects undergoing RAD conversion, </w:t>
      </w:r>
      <w:r w:rsidR="003337D3">
        <w:rPr>
          <w:szCs w:val="24"/>
        </w:rPr>
        <w:t>the</w:t>
      </w:r>
      <w:r w:rsidRPr="00077064">
        <w:rPr>
          <w:szCs w:val="24"/>
        </w:rPr>
        <w:t xml:space="preserve"> </w:t>
      </w:r>
      <w:r w:rsidR="000078CE">
        <w:rPr>
          <w:szCs w:val="24"/>
        </w:rPr>
        <w:t>Project Owner</w:t>
      </w:r>
      <w:r w:rsidRPr="00077064">
        <w:rPr>
          <w:szCs w:val="24"/>
        </w:rPr>
        <w:t xml:space="preserve"> must provide language assistance to residents of the </w:t>
      </w:r>
      <w:r w:rsidR="00887E42">
        <w:rPr>
          <w:szCs w:val="24"/>
        </w:rPr>
        <w:t>P</w:t>
      </w:r>
      <w:r w:rsidRPr="00077064">
        <w:rPr>
          <w:szCs w:val="24"/>
        </w:rPr>
        <w:t xml:space="preserve">roject who are Limited English Proficient (LEP) to ensure that they have meaningful access to RAD resident notifications and meetings. Such language assistance may include, but is not limited to, providing written translation of notices regarding the plans for the </w:t>
      </w:r>
      <w:r w:rsidR="00887E42">
        <w:rPr>
          <w:szCs w:val="24"/>
        </w:rPr>
        <w:t>P</w:t>
      </w:r>
      <w:r w:rsidRPr="00077064">
        <w:rPr>
          <w:szCs w:val="24"/>
        </w:rPr>
        <w:t xml:space="preserve">roject and relocation and oral interpretation at resident meetings. For guidance on providing language assistance to persons with LEP, please see Final Guidance to Federal Financial Assistance Recipients Regarding Title VI Prohibition Against National Origin Discrimination Affecting Limited English Proficient Persons (72 FR 2732). </w:t>
      </w:r>
    </w:p>
    <w:p w14:paraId="7F57C53F" w14:textId="77777777" w:rsidR="00A14DCD" w:rsidRPr="00077064" w:rsidRDefault="00A14DCD" w:rsidP="00A14DCD">
      <w:pPr>
        <w:spacing w:after="12"/>
        <w:rPr>
          <w:szCs w:val="24"/>
        </w:rPr>
      </w:pPr>
    </w:p>
    <w:p w14:paraId="7F57C540" w14:textId="689456D3" w:rsidR="00A14DCD" w:rsidRPr="00077064" w:rsidRDefault="00A14DCD" w:rsidP="00A14DCD">
      <w:pPr>
        <w:spacing w:after="12"/>
        <w:rPr>
          <w:rFonts w:eastAsia="Times New Roman"/>
          <w:szCs w:val="24"/>
        </w:rPr>
      </w:pPr>
      <w:r w:rsidRPr="00077064">
        <w:rPr>
          <w:rFonts w:eastAsia="Times New Roman"/>
          <w:szCs w:val="24"/>
        </w:rPr>
        <w:t xml:space="preserve">The </w:t>
      </w:r>
      <w:r w:rsidR="000078CE">
        <w:rPr>
          <w:rFonts w:eastAsia="Times New Roman"/>
          <w:szCs w:val="24"/>
        </w:rPr>
        <w:t>Project Owner</w:t>
      </w:r>
      <w:r w:rsidRPr="00077064">
        <w:rPr>
          <w:rFonts w:eastAsia="Times New Roman"/>
          <w:szCs w:val="24"/>
        </w:rPr>
        <w:t xml:space="preserve"> must submit a copy of all comments received with their </w:t>
      </w:r>
      <w:r w:rsidR="00F618B5">
        <w:rPr>
          <w:rFonts w:eastAsia="Times New Roman"/>
          <w:szCs w:val="24"/>
        </w:rPr>
        <w:t>Conversion Plan</w:t>
      </w:r>
      <w:r w:rsidRPr="00077064">
        <w:rPr>
          <w:rFonts w:eastAsia="Times New Roman"/>
          <w:szCs w:val="24"/>
        </w:rPr>
        <w:t xml:space="preserve">, along with a description of how the residents’ comments will be addressed in the conversion. HUD will consider all resident comments and the </w:t>
      </w:r>
      <w:r w:rsidR="000078CE">
        <w:rPr>
          <w:rFonts w:eastAsia="Times New Roman"/>
          <w:szCs w:val="24"/>
        </w:rPr>
        <w:t>Project Owner</w:t>
      </w:r>
      <w:r w:rsidRPr="00077064">
        <w:rPr>
          <w:rFonts w:eastAsia="Times New Roman"/>
          <w:szCs w:val="24"/>
        </w:rPr>
        <w:t xml:space="preserve">’s plan to address the comments before approving the </w:t>
      </w:r>
      <w:r w:rsidR="00F618B5">
        <w:rPr>
          <w:rFonts w:eastAsia="Times New Roman"/>
          <w:szCs w:val="24"/>
        </w:rPr>
        <w:t>Conversion Plan</w:t>
      </w:r>
      <w:r w:rsidRPr="00077064">
        <w:rPr>
          <w:rFonts w:eastAsia="Times New Roman"/>
          <w:szCs w:val="24"/>
        </w:rPr>
        <w:t xml:space="preserve">. </w:t>
      </w:r>
      <w:r w:rsidR="003337D3">
        <w:rPr>
          <w:rFonts w:eastAsia="Times New Roman"/>
          <w:szCs w:val="24"/>
        </w:rPr>
        <w:t>I</w:t>
      </w:r>
      <w:r w:rsidRPr="00077064">
        <w:rPr>
          <w:rFonts w:eastAsia="Times New Roman"/>
          <w:szCs w:val="24"/>
        </w:rPr>
        <w:t xml:space="preserve">f more than 50 percent of written resident comments disapprove of the conversion of assistance, HUD will contact the </w:t>
      </w:r>
      <w:r w:rsidR="000078CE">
        <w:rPr>
          <w:rFonts w:eastAsia="Times New Roman"/>
          <w:szCs w:val="24"/>
        </w:rPr>
        <w:t>Project Owner</w:t>
      </w:r>
      <w:r w:rsidRPr="00077064">
        <w:rPr>
          <w:rFonts w:eastAsia="Times New Roman"/>
          <w:szCs w:val="24"/>
        </w:rPr>
        <w:t xml:space="preserve"> to discuss options for proceeding with the conversion request or may decline the request.</w:t>
      </w:r>
    </w:p>
    <w:p w14:paraId="7F57C541" w14:textId="77777777" w:rsidR="00A14DCD" w:rsidRPr="00077064" w:rsidRDefault="00A14DCD" w:rsidP="00A14DCD">
      <w:pPr>
        <w:spacing w:after="12"/>
        <w:rPr>
          <w:szCs w:val="24"/>
        </w:rPr>
      </w:pPr>
    </w:p>
    <w:p w14:paraId="7F57C542" w14:textId="6384B276" w:rsidR="00A14DCD" w:rsidRPr="00077064" w:rsidRDefault="00A14DCD" w:rsidP="00A14DCD">
      <w:pPr>
        <w:spacing w:after="12"/>
        <w:rPr>
          <w:szCs w:val="24"/>
        </w:rPr>
      </w:pPr>
      <w:r w:rsidRPr="00077064">
        <w:rPr>
          <w:szCs w:val="24"/>
        </w:rPr>
        <w:t xml:space="preserve">Upon </w:t>
      </w:r>
      <w:r w:rsidR="00F618B5">
        <w:rPr>
          <w:szCs w:val="24"/>
        </w:rPr>
        <w:t>Conversion Plan</w:t>
      </w:r>
      <w:r w:rsidRPr="00077064">
        <w:rPr>
          <w:szCs w:val="24"/>
        </w:rPr>
        <w:t xml:space="preserve"> approval, the </w:t>
      </w:r>
      <w:r w:rsidR="000078CE">
        <w:rPr>
          <w:szCs w:val="24"/>
        </w:rPr>
        <w:t>Project Owner</w:t>
      </w:r>
      <w:r w:rsidRPr="00077064">
        <w:rPr>
          <w:szCs w:val="24"/>
        </w:rPr>
        <w:t xml:space="preserve"> must notify each affected family that the </w:t>
      </w:r>
      <w:r w:rsidR="0025010B">
        <w:rPr>
          <w:szCs w:val="24"/>
        </w:rPr>
        <w:t>P</w:t>
      </w:r>
      <w:r w:rsidRPr="00077064">
        <w:rPr>
          <w:szCs w:val="24"/>
        </w:rPr>
        <w:t>roject has been approved.</w:t>
      </w:r>
    </w:p>
    <w:p w14:paraId="7F57C543" w14:textId="77777777" w:rsidR="00A14DCD" w:rsidRPr="00077064" w:rsidRDefault="00A14DCD" w:rsidP="00A14DCD">
      <w:pPr>
        <w:spacing w:after="12"/>
        <w:rPr>
          <w:rFonts w:eastAsia="Times New Roman"/>
          <w:szCs w:val="24"/>
        </w:rPr>
      </w:pPr>
    </w:p>
    <w:p w14:paraId="7F57C544" w14:textId="77777777" w:rsidR="00A14DCD" w:rsidRPr="00077064" w:rsidRDefault="00A14DCD" w:rsidP="00A14DCD">
      <w:pPr>
        <w:spacing w:after="12"/>
        <w:rPr>
          <w:bCs/>
          <w:szCs w:val="24"/>
        </w:rPr>
      </w:pPr>
    </w:p>
    <w:p w14:paraId="7F57C552" w14:textId="77777777" w:rsidR="009759A0" w:rsidRPr="00335625" w:rsidRDefault="009759A0" w:rsidP="00992B15">
      <w:pPr>
        <w:spacing w:after="12"/>
        <w:rPr>
          <w:szCs w:val="24"/>
        </w:rPr>
      </w:pPr>
      <w:bookmarkStart w:id="223" w:name="_Toc358367391"/>
      <w:bookmarkStart w:id="224" w:name="_Toc353369292"/>
      <w:bookmarkStart w:id="225" w:name="_Toc416357165"/>
      <w:bookmarkStart w:id="226" w:name="_Toc416419321"/>
      <w:bookmarkStart w:id="227" w:name="_Toc421888929"/>
      <w:bookmarkEnd w:id="222"/>
    </w:p>
    <w:p w14:paraId="7F57C553" w14:textId="4E7A4BCC" w:rsidR="00A625BF" w:rsidRDefault="00F618B5" w:rsidP="00794828">
      <w:pPr>
        <w:keepNext/>
        <w:keepLines/>
        <w:numPr>
          <w:ilvl w:val="2"/>
          <w:numId w:val="21"/>
        </w:numPr>
        <w:spacing w:after="12"/>
        <w:contextualSpacing/>
        <w:outlineLvl w:val="1"/>
        <w:rPr>
          <w:rFonts w:eastAsia="Times New Roman"/>
          <w:b/>
          <w:bCs/>
          <w:szCs w:val="24"/>
          <w:u w:val="single"/>
        </w:rPr>
      </w:pPr>
      <w:r w:rsidRPr="0064706A">
        <w:rPr>
          <w:rFonts w:eastAsia="Times New Roman"/>
          <w:b/>
          <w:bCs/>
          <w:szCs w:val="24"/>
          <w:u w:val="single"/>
        </w:rPr>
        <w:t>Conversion Plan</w:t>
      </w:r>
      <w:r w:rsidR="008F68F0" w:rsidRPr="0064706A">
        <w:rPr>
          <w:rFonts w:eastAsia="Times New Roman"/>
          <w:b/>
          <w:bCs/>
          <w:szCs w:val="24"/>
          <w:u w:val="single"/>
        </w:rPr>
        <w:t xml:space="preserve"> Submission</w:t>
      </w:r>
      <w:r w:rsidR="00A14DCD" w:rsidRPr="0064706A">
        <w:rPr>
          <w:rFonts w:eastAsia="Times New Roman"/>
          <w:b/>
          <w:bCs/>
          <w:szCs w:val="24"/>
          <w:u w:val="single"/>
        </w:rPr>
        <w:t>, RAD Approval, and Closing</w:t>
      </w:r>
      <w:bookmarkEnd w:id="213"/>
      <w:bookmarkEnd w:id="223"/>
      <w:bookmarkEnd w:id="224"/>
      <w:bookmarkEnd w:id="225"/>
      <w:bookmarkEnd w:id="226"/>
      <w:bookmarkEnd w:id="227"/>
    </w:p>
    <w:p w14:paraId="7F57C554" w14:textId="77777777" w:rsidR="00392480" w:rsidRPr="0064706A" w:rsidRDefault="00392480" w:rsidP="00392480">
      <w:pPr>
        <w:keepNext/>
        <w:keepLines/>
        <w:spacing w:after="12"/>
        <w:contextualSpacing/>
        <w:outlineLvl w:val="1"/>
        <w:rPr>
          <w:rFonts w:eastAsia="Times New Roman"/>
          <w:b/>
          <w:bCs/>
          <w:szCs w:val="24"/>
          <w:u w:val="single"/>
        </w:rPr>
      </w:pPr>
    </w:p>
    <w:p w14:paraId="7F57C555" w14:textId="69E8CECE" w:rsidR="00437DCE" w:rsidRDefault="00F618B5" w:rsidP="00794828">
      <w:pPr>
        <w:numPr>
          <w:ilvl w:val="0"/>
          <w:numId w:val="10"/>
        </w:numPr>
        <w:spacing w:after="12"/>
        <w:ind w:left="360" w:hanging="360"/>
        <w:rPr>
          <w:szCs w:val="24"/>
        </w:rPr>
      </w:pPr>
      <w:r>
        <w:rPr>
          <w:b/>
          <w:szCs w:val="24"/>
        </w:rPr>
        <w:t>Conversion Plan</w:t>
      </w:r>
      <w:r w:rsidR="004A28B8">
        <w:rPr>
          <w:b/>
          <w:szCs w:val="24"/>
        </w:rPr>
        <w:t xml:space="preserve"> Submission</w:t>
      </w:r>
      <w:r w:rsidR="00A14DCD" w:rsidRPr="00077064">
        <w:rPr>
          <w:b/>
          <w:szCs w:val="24"/>
        </w:rPr>
        <w:t>.</w:t>
      </w:r>
      <w:r w:rsidR="00A14DCD" w:rsidRPr="00077064">
        <w:rPr>
          <w:szCs w:val="24"/>
        </w:rPr>
        <w:t xml:space="preserve"> The </w:t>
      </w:r>
      <w:r w:rsidR="000078CE">
        <w:rPr>
          <w:szCs w:val="24"/>
        </w:rPr>
        <w:t>Project Owner</w:t>
      </w:r>
      <w:r w:rsidR="00A14DCD" w:rsidRPr="00077064">
        <w:rPr>
          <w:szCs w:val="24"/>
        </w:rPr>
        <w:t xml:space="preserve"> must submit to HUD through the RAD Resource Desk a complete </w:t>
      </w:r>
      <w:r>
        <w:rPr>
          <w:szCs w:val="24"/>
        </w:rPr>
        <w:t>Conversion Plan</w:t>
      </w:r>
      <w:r w:rsidR="00A14DCD" w:rsidRPr="00077064">
        <w:rPr>
          <w:szCs w:val="24"/>
        </w:rPr>
        <w:t xml:space="preserve"> that satisfies all </w:t>
      </w:r>
      <w:r w:rsidR="002E3BC8">
        <w:rPr>
          <w:szCs w:val="24"/>
        </w:rPr>
        <w:t>RAD</w:t>
      </w:r>
      <w:r w:rsidR="00A14DCD" w:rsidRPr="00077064">
        <w:rPr>
          <w:szCs w:val="24"/>
        </w:rPr>
        <w:t xml:space="preserve"> program requirements. (See Attachment </w:t>
      </w:r>
      <w:r w:rsidR="006468E8">
        <w:rPr>
          <w:szCs w:val="24"/>
        </w:rPr>
        <w:t>4</w:t>
      </w:r>
      <w:r w:rsidR="00A14DCD" w:rsidRPr="00077064">
        <w:rPr>
          <w:szCs w:val="24"/>
        </w:rPr>
        <w:t xml:space="preserve">.A for </w:t>
      </w:r>
      <w:r>
        <w:rPr>
          <w:szCs w:val="24"/>
        </w:rPr>
        <w:t>Conversion Plan</w:t>
      </w:r>
      <w:r w:rsidR="00A14DCD" w:rsidRPr="00077064">
        <w:rPr>
          <w:szCs w:val="24"/>
        </w:rPr>
        <w:t xml:space="preserve"> Requirements</w:t>
      </w:r>
      <w:r w:rsidR="00505D9A">
        <w:rPr>
          <w:szCs w:val="24"/>
        </w:rPr>
        <w:t>.</w:t>
      </w:r>
      <w:r w:rsidR="00A14DCD" w:rsidRPr="00077064">
        <w:rPr>
          <w:szCs w:val="24"/>
        </w:rPr>
        <w:t xml:space="preserve">) </w:t>
      </w:r>
    </w:p>
    <w:p w14:paraId="7F57C556" w14:textId="77777777" w:rsidR="00437DCE" w:rsidRDefault="00437DCE" w:rsidP="00A25539">
      <w:pPr>
        <w:spacing w:after="12"/>
        <w:ind w:left="360"/>
        <w:rPr>
          <w:szCs w:val="24"/>
        </w:rPr>
      </w:pPr>
    </w:p>
    <w:p w14:paraId="6EAF4CE0" w14:textId="5CBD4D7F" w:rsidR="00A426AE" w:rsidRDefault="00A14DCD" w:rsidP="00AA706A">
      <w:pPr>
        <w:spacing w:after="12"/>
        <w:ind w:left="360"/>
        <w:rPr>
          <w:szCs w:val="24"/>
        </w:rPr>
      </w:pPr>
      <w:r w:rsidRPr="00077064">
        <w:rPr>
          <w:szCs w:val="24"/>
        </w:rPr>
        <w:t xml:space="preserve">HUD will </w:t>
      </w:r>
      <w:r w:rsidR="001E3133">
        <w:rPr>
          <w:szCs w:val="24"/>
        </w:rPr>
        <w:t>review the</w:t>
      </w:r>
      <w:r w:rsidRPr="00077064">
        <w:rPr>
          <w:szCs w:val="24"/>
        </w:rPr>
        <w:t xml:space="preserve"> </w:t>
      </w:r>
      <w:r w:rsidR="00F618B5">
        <w:rPr>
          <w:szCs w:val="24"/>
        </w:rPr>
        <w:t>Conversion Plan</w:t>
      </w:r>
      <w:r w:rsidRPr="00077064">
        <w:rPr>
          <w:szCs w:val="24"/>
        </w:rPr>
        <w:t xml:space="preserve"> </w:t>
      </w:r>
      <w:r w:rsidR="001E3133">
        <w:rPr>
          <w:szCs w:val="24"/>
        </w:rPr>
        <w:t xml:space="preserve">and Notify the </w:t>
      </w:r>
      <w:r w:rsidR="000078CE">
        <w:rPr>
          <w:szCs w:val="24"/>
        </w:rPr>
        <w:t>Project Owner</w:t>
      </w:r>
      <w:r w:rsidR="001E3133">
        <w:rPr>
          <w:szCs w:val="24"/>
        </w:rPr>
        <w:t xml:space="preserve"> of HUD’s determination t</w:t>
      </w:r>
      <w:r w:rsidRPr="00077064">
        <w:rPr>
          <w:szCs w:val="24"/>
        </w:rPr>
        <w:t xml:space="preserve">o approve or reject the plan or </w:t>
      </w:r>
      <w:r w:rsidR="004C3E19">
        <w:rPr>
          <w:szCs w:val="24"/>
        </w:rPr>
        <w:t xml:space="preserve">to </w:t>
      </w:r>
      <w:r w:rsidRPr="00077064">
        <w:rPr>
          <w:szCs w:val="24"/>
        </w:rPr>
        <w:t xml:space="preserve">request additional information. HUD’s decisions regarding the acceptance of the </w:t>
      </w:r>
      <w:r w:rsidR="00F618B5">
        <w:rPr>
          <w:szCs w:val="24"/>
        </w:rPr>
        <w:t>Conversion Plan</w:t>
      </w:r>
      <w:r w:rsidRPr="00077064">
        <w:rPr>
          <w:szCs w:val="24"/>
        </w:rPr>
        <w:t xml:space="preserve"> will be made in HUD’s sole discretion. If HUD determines that a </w:t>
      </w:r>
      <w:r w:rsidR="00F618B5">
        <w:rPr>
          <w:szCs w:val="24"/>
        </w:rPr>
        <w:t>Conversion Plan</w:t>
      </w:r>
      <w:r w:rsidRPr="00077064">
        <w:rPr>
          <w:szCs w:val="24"/>
        </w:rPr>
        <w:t xml:space="preserve"> is not feasible or that the requirements of the </w:t>
      </w:r>
      <w:r w:rsidR="00F618B5">
        <w:rPr>
          <w:szCs w:val="24"/>
        </w:rPr>
        <w:t>Conversion Plan</w:t>
      </w:r>
      <w:r w:rsidRPr="00077064">
        <w:rPr>
          <w:szCs w:val="24"/>
        </w:rPr>
        <w:t xml:space="preserve"> as set forth in Attachment </w:t>
      </w:r>
      <w:r w:rsidR="004463E2">
        <w:rPr>
          <w:szCs w:val="24"/>
        </w:rPr>
        <w:t>4</w:t>
      </w:r>
      <w:r w:rsidRPr="00077064">
        <w:rPr>
          <w:szCs w:val="24"/>
        </w:rPr>
        <w:t xml:space="preserve">A have not been met, then the </w:t>
      </w:r>
      <w:r w:rsidR="000078CE">
        <w:rPr>
          <w:szCs w:val="24"/>
        </w:rPr>
        <w:t>Project Owner</w:t>
      </w:r>
      <w:r w:rsidRPr="00077064">
        <w:rPr>
          <w:szCs w:val="24"/>
        </w:rPr>
        <w:t xml:space="preserve"> may either make corrections that satisfactorily address HUD’s concerns or appeal the decision. </w:t>
      </w:r>
      <w:r w:rsidR="00AA706A">
        <w:rPr>
          <w:szCs w:val="24"/>
        </w:rPr>
        <w:t xml:space="preserve">HUD may modify the PRAC Rents if necessary to adequately fund the replacement reserves or if necessary to support a Service Coordinator or Supportive Services to meet the needs of the residents. </w:t>
      </w:r>
      <w:r w:rsidRPr="00077064">
        <w:rPr>
          <w:szCs w:val="24"/>
        </w:rPr>
        <w:t xml:space="preserve">If a </w:t>
      </w:r>
      <w:r w:rsidR="00F618B5">
        <w:rPr>
          <w:szCs w:val="24"/>
        </w:rPr>
        <w:t>Conversion Plan</w:t>
      </w:r>
      <w:r w:rsidRPr="00077064">
        <w:rPr>
          <w:szCs w:val="24"/>
        </w:rPr>
        <w:t xml:space="preserve"> is disapproved, HUD’s letter of disapproval will discuss changes, if any, that would result in an acceptable </w:t>
      </w:r>
      <w:r w:rsidR="00F618B5">
        <w:rPr>
          <w:szCs w:val="24"/>
        </w:rPr>
        <w:t>Conversion Plan</w:t>
      </w:r>
      <w:r w:rsidRPr="00077064">
        <w:rPr>
          <w:szCs w:val="24"/>
        </w:rPr>
        <w:t>.</w:t>
      </w:r>
      <w:r w:rsidR="000F36E0">
        <w:rPr>
          <w:szCs w:val="24"/>
        </w:rPr>
        <w:t xml:space="preserve"> </w:t>
      </w:r>
    </w:p>
    <w:p w14:paraId="7F57C558" w14:textId="77777777" w:rsidR="008338A6" w:rsidRPr="00077064" w:rsidRDefault="008338A6" w:rsidP="00A14DCD">
      <w:pPr>
        <w:spacing w:after="12"/>
        <w:ind w:left="360"/>
        <w:rPr>
          <w:szCs w:val="24"/>
        </w:rPr>
      </w:pPr>
    </w:p>
    <w:p w14:paraId="7F57C559" w14:textId="4703E972" w:rsidR="00A14DCD" w:rsidRPr="00392480" w:rsidRDefault="004463E2" w:rsidP="00794828">
      <w:pPr>
        <w:numPr>
          <w:ilvl w:val="0"/>
          <w:numId w:val="10"/>
        </w:numPr>
        <w:spacing w:after="12"/>
        <w:ind w:left="360" w:hanging="360"/>
        <w:rPr>
          <w:szCs w:val="24"/>
        </w:rPr>
      </w:pPr>
      <w:r w:rsidRPr="00392480">
        <w:rPr>
          <w:b/>
          <w:szCs w:val="24"/>
        </w:rPr>
        <w:t>RAD</w:t>
      </w:r>
      <w:r w:rsidR="00A14DCD" w:rsidRPr="00392480">
        <w:rPr>
          <w:b/>
          <w:szCs w:val="24"/>
        </w:rPr>
        <w:t xml:space="preserve"> Approval</w:t>
      </w:r>
      <w:r w:rsidR="00AD131C">
        <w:rPr>
          <w:b/>
          <w:szCs w:val="24"/>
        </w:rPr>
        <w:t xml:space="preserve">. </w:t>
      </w:r>
      <w:r w:rsidR="00392480" w:rsidRPr="00392480">
        <w:rPr>
          <w:szCs w:val="24"/>
        </w:rPr>
        <w:t xml:space="preserve">If the Conversion Plan satisfies the requirements of this Notice, HUD will issue an approval letter to the </w:t>
      </w:r>
      <w:r w:rsidR="000078CE">
        <w:rPr>
          <w:szCs w:val="24"/>
        </w:rPr>
        <w:t>Project Owner</w:t>
      </w:r>
      <w:r w:rsidR="00055CC4" w:rsidRPr="00392480">
        <w:rPr>
          <w:szCs w:val="24"/>
        </w:rPr>
        <w:t>.</w:t>
      </w:r>
      <w:r w:rsidR="00A14DCD" w:rsidRPr="00392480">
        <w:rPr>
          <w:szCs w:val="24"/>
        </w:rPr>
        <w:t xml:space="preserve"> The approval letter will outline the key components of the planned RAD conversion and will discuss the conditions that need to be satisfied in order to close the conversion. Once the approval letter is issued, HUD expects that the RAD conversion will close in a timely manner. The approval letter will allow 90 calendar days (from the date the approval </w:t>
      </w:r>
      <w:r w:rsidR="00392480" w:rsidRPr="00392480">
        <w:rPr>
          <w:szCs w:val="24"/>
        </w:rPr>
        <w:t>l</w:t>
      </w:r>
      <w:r w:rsidR="00A14DCD" w:rsidRPr="00392480">
        <w:rPr>
          <w:szCs w:val="24"/>
        </w:rPr>
        <w:t xml:space="preserve">etter is issued to the </w:t>
      </w:r>
      <w:r w:rsidR="000078CE">
        <w:rPr>
          <w:szCs w:val="24"/>
        </w:rPr>
        <w:t>Project Owner</w:t>
      </w:r>
      <w:r w:rsidR="00A14DCD" w:rsidRPr="00392480">
        <w:rPr>
          <w:szCs w:val="24"/>
        </w:rPr>
        <w:t xml:space="preserve">) in which to close the RAD conversion transaction, unless extended by HUD. The </w:t>
      </w:r>
      <w:r w:rsidR="000078CE">
        <w:rPr>
          <w:szCs w:val="24"/>
        </w:rPr>
        <w:t>Project Owner</w:t>
      </w:r>
      <w:r w:rsidR="00A14DCD" w:rsidRPr="00392480">
        <w:rPr>
          <w:szCs w:val="24"/>
        </w:rPr>
        <w:t xml:space="preserve"> will need to work diligently to achieve closing within the timeframe required under this Notice in order to avoid rescission of the RAD approval.</w:t>
      </w:r>
    </w:p>
    <w:p w14:paraId="7F57C55A" w14:textId="77777777" w:rsidR="00A14DCD" w:rsidRPr="00077064" w:rsidRDefault="00A14DCD" w:rsidP="00A14DCD">
      <w:pPr>
        <w:spacing w:after="12"/>
        <w:ind w:left="360"/>
        <w:rPr>
          <w:szCs w:val="24"/>
        </w:rPr>
      </w:pPr>
    </w:p>
    <w:p w14:paraId="7F57C55B" w14:textId="05BC3908" w:rsidR="00A14DCD" w:rsidRDefault="00A14DCD" w:rsidP="00794828">
      <w:pPr>
        <w:numPr>
          <w:ilvl w:val="0"/>
          <w:numId w:val="10"/>
        </w:numPr>
        <w:spacing w:after="12"/>
        <w:ind w:left="360" w:hanging="360"/>
        <w:rPr>
          <w:szCs w:val="24"/>
        </w:rPr>
      </w:pPr>
      <w:r w:rsidRPr="0039274A">
        <w:rPr>
          <w:b/>
          <w:szCs w:val="24"/>
        </w:rPr>
        <w:t>Closing</w:t>
      </w:r>
      <w:r w:rsidRPr="0039274A">
        <w:rPr>
          <w:szCs w:val="24"/>
        </w:rPr>
        <w:t>.</w:t>
      </w:r>
      <w:r w:rsidR="0039274A" w:rsidRPr="0039274A">
        <w:rPr>
          <w:szCs w:val="24"/>
        </w:rPr>
        <w:t xml:space="preserve"> Upon conversion, units whose assistance has been converted pursuant to RAD will be removed from </w:t>
      </w:r>
      <w:r w:rsidR="0039274A">
        <w:rPr>
          <w:szCs w:val="24"/>
        </w:rPr>
        <w:t>the 202 PRAC</w:t>
      </w:r>
      <w:r w:rsidR="0039274A" w:rsidRPr="0039274A">
        <w:rPr>
          <w:szCs w:val="24"/>
        </w:rPr>
        <w:t xml:space="preserve"> program. Converting Projects will </w:t>
      </w:r>
      <w:r w:rsidR="008F16C0">
        <w:rPr>
          <w:szCs w:val="24"/>
        </w:rPr>
        <w:t xml:space="preserve">be </w:t>
      </w:r>
      <w:r w:rsidR="0039274A" w:rsidRPr="00077064">
        <w:rPr>
          <w:szCs w:val="24"/>
        </w:rPr>
        <w:t xml:space="preserve">released from </w:t>
      </w:r>
      <w:r w:rsidR="0039274A">
        <w:rPr>
          <w:szCs w:val="24"/>
        </w:rPr>
        <w:t xml:space="preserve">any outstanding obligations under </w:t>
      </w:r>
      <w:r w:rsidR="0039274A" w:rsidRPr="00077064">
        <w:rPr>
          <w:szCs w:val="24"/>
        </w:rPr>
        <w:t>the</w:t>
      </w:r>
      <w:r w:rsidR="0039274A">
        <w:rPr>
          <w:szCs w:val="24"/>
        </w:rPr>
        <w:t xml:space="preserve"> </w:t>
      </w:r>
      <w:r w:rsidR="008F16C0">
        <w:rPr>
          <w:szCs w:val="24"/>
        </w:rPr>
        <w:t>Capital Advance Agreement, the Capital Advance Mortgage Note, the Capital Advance Program Regulatory Agreement, the Capital Advance Program Use Agreement, and related or collateral documents associated with the PRAC and the foregoing documents</w:t>
      </w:r>
      <w:r w:rsidR="0043258D">
        <w:rPr>
          <w:szCs w:val="24"/>
        </w:rPr>
        <w:t xml:space="preserve">. </w:t>
      </w:r>
      <w:r w:rsidR="0039274A">
        <w:rPr>
          <w:szCs w:val="24"/>
        </w:rPr>
        <w:t>The 202 PRAC will be terminated</w:t>
      </w:r>
      <w:r w:rsidR="00032E85">
        <w:rPr>
          <w:szCs w:val="24"/>
        </w:rPr>
        <w:t xml:space="preserve">, </w:t>
      </w:r>
      <w:r w:rsidR="0039274A">
        <w:rPr>
          <w:szCs w:val="24"/>
        </w:rPr>
        <w:t>the Section 8 HAP Contract will be executed</w:t>
      </w:r>
      <w:r w:rsidR="00032E85">
        <w:rPr>
          <w:szCs w:val="24"/>
        </w:rPr>
        <w:t xml:space="preserve"> and the Project Owner will enter into an Elderly Housing</w:t>
      </w:r>
      <w:r w:rsidR="00032E85" w:rsidRPr="00077064">
        <w:rPr>
          <w:szCs w:val="24"/>
        </w:rPr>
        <w:t xml:space="preserve"> Use Agreement</w:t>
      </w:r>
      <w:r w:rsidR="00032E85">
        <w:rPr>
          <w:szCs w:val="24"/>
        </w:rPr>
        <w:t>, which will be recorded as a restrictive covenant in first position on the Covered Project</w:t>
      </w:r>
      <w:r w:rsidR="00032E85" w:rsidRPr="0039274A">
        <w:rPr>
          <w:szCs w:val="24"/>
        </w:rPr>
        <w:t>.</w:t>
      </w:r>
      <w:r w:rsidR="0039274A">
        <w:rPr>
          <w:szCs w:val="24"/>
        </w:rPr>
        <w:t xml:space="preserve">. </w:t>
      </w:r>
      <w:r w:rsidR="00B06AF7" w:rsidRPr="0039274A">
        <w:rPr>
          <w:szCs w:val="24"/>
        </w:rPr>
        <w:t xml:space="preserve">The effective date identified in the HAP Contract is the date the Project will cease to operate as a 202 PRAC Project and begins to operate under Section 8 requirements. </w:t>
      </w:r>
    </w:p>
    <w:p w14:paraId="46A92A58" w14:textId="77777777" w:rsidR="000F36E0" w:rsidRDefault="000F36E0" w:rsidP="00782FA7">
      <w:pPr>
        <w:pStyle w:val="ListParagraph"/>
        <w:rPr>
          <w:szCs w:val="24"/>
        </w:rPr>
      </w:pPr>
    </w:p>
    <w:p w14:paraId="7F57C55C" w14:textId="77777777" w:rsidR="00A14DCD" w:rsidRPr="002F3E6E" w:rsidRDefault="00A14DCD" w:rsidP="00A14DCD">
      <w:pPr>
        <w:rPr>
          <w:rFonts w:eastAsia="Times New Roman"/>
          <w:b/>
          <w:bCs/>
          <w:szCs w:val="24"/>
          <w:highlight w:val="yellow"/>
          <w:u w:val="single"/>
        </w:rPr>
      </w:pPr>
      <w:bookmarkStart w:id="228" w:name="_Toc421888930"/>
      <w:bookmarkStart w:id="229" w:name="_Toc358367374"/>
      <w:bookmarkStart w:id="230" w:name="_Toc353369275"/>
    </w:p>
    <w:p w14:paraId="7F57C55D" w14:textId="3BB08CE9" w:rsidR="00A14DCD" w:rsidRDefault="00A14DCD" w:rsidP="00794828">
      <w:pPr>
        <w:keepNext/>
        <w:keepLines/>
        <w:numPr>
          <w:ilvl w:val="1"/>
          <w:numId w:val="21"/>
        </w:numPr>
        <w:spacing w:after="12"/>
        <w:ind w:left="1440" w:hanging="450"/>
        <w:outlineLvl w:val="1"/>
        <w:rPr>
          <w:rFonts w:eastAsia="Times New Roman"/>
          <w:b/>
          <w:bCs/>
          <w:szCs w:val="24"/>
          <w:u w:val="single"/>
        </w:rPr>
      </w:pPr>
      <w:r w:rsidRPr="00077064">
        <w:rPr>
          <w:rFonts w:eastAsia="Times New Roman"/>
          <w:b/>
          <w:bCs/>
          <w:szCs w:val="24"/>
          <w:u w:val="single"/>
        </w:rPr>
        <w:t>Additional Information</w:t>
      </w:r>
      <w:bookmarkEnd w:id="228"/>
      <w:r w:rsidRPr="00077064">
        <w:rPr>
          <w:rFonts w:eastAsia="Times New Roman"/>
          <w:b/>
          <w:bCs/>
          <w:szCs w:val="24"/>
          <w:u w:val="single"/>
        </w:rPr>
        <w:t xml:space="preserve"> </w:t>
      </w:r>
    </w:p>
    <w:p w14:paraId="7F1A9252" w14:textId="77777777" w:rsidR="00536767" w:rsidRPr="00077064" w:rsidRDefault="00536767" w:rsidP="00536767">
      <w:pPr>
        <w:keepNext/>
        <w:keepLines/>
        <w:spacing w:after="12"/>
        <w:ind w:left="1440"/>
        <w:outlineLvl w:val="1"/>
        <w:rPr>
          <w:rFonts w:eastAsia="Times New Roman"/>
          <w:b/>
          <w:bCs/>
          <w:szCs w:val="24"/>
          <w:u w:val="single"/>
        </w:rPr>
      </w:pPr>
    </w:p>
    <w:p w14:paraId="7F57C55E" w14:textId="77777777" w:rsidR="00A14DCD" w:rsidRPr="00077064" w:rsidRDefault="00A14DCD" w:rsidP="00A14DCD">
      <w:pPr>
        <w:rPr>
          <w:szCs w:val="24"/>
        </w:rPr>
      </w:pPr>
      <w:r w:rsidRPr="00077064">
        <w:rPr>
          <w:szCs w:val="24"/>
        </w:rPr>
        <w:t>For additional information on this sect</w:t>
      </w:r>
      <w:r>
        <w:rPr>
          <w:szCs w:val="24"/>
        </w:rPr>
        <w:t xml:space="preserve">ion of the Notice, please check </w:t>
      </w:r>
      <w:hyperlink r:id="rId17" w:history="1">
        <w:r w:rsidRPr="002D3E25">
          <w:rPr>
            <w:rStyle w:val="Hyperlink"/>
            <w:szCs w:val="24"/>
          </w:rPr>
          <w:t>www.hud.gov/rad</w:t>
        </w:r>
      </w:hyperlink>
      <w:r>
        <w:rPr>
          <w:szCs w:val="24"/>
        </w:rPr>
        <w:t xml:space="preserve"> or email questions to </w:t>
      </w:r>
      <w:hyperlink r:id="rId18" w:history="1">
        <w:r w:rsidRPr="002D3E25">
          <w:rPr>
            <w:rStyle w:val="Hyperlink"/>
            <w:szCs w:val="24"/>
          </w:rPr>
          <w:t>RAD2@hud.gov</w:t>
        </w:r>
      </w:hyperlink>
      <w:r>
        <w:rPr>
          <w:szCs w:val="24"/>
        </w:rPr>
        <w:t xml:space="preserve">. </w:t>
      </w:r>
    </w:p>
    <w:p w14:paraId="7F57C55F" w14:textId="77777777" w:rsidR="00A14DCD" w:rsidRPr="00077064" w:rsidRDefault="00A14DCD" w:rsidP="00A14DCD">
      <w:pPr>
        <w:rPr>
          <w:szCs w:val="24"/>
        </w:rPr>
      </w:pPr>
    </w:p>
    <w:p w14:paraId="7F57C560" w14:textId="77777777" w:rsidR="00A14DCD" w:rsidRPr="00077064" w:rsidRDefault="00A14DCD" w:rsidP="00A14DCD">
      <w:pPr>
        <w:rPr>
          <w:szCs w:val="24"/>
        </w:rPr>
        <w:sectPr w:rsidR="00A14DCD" w:rsidRPr="00077064" w:rsidSect="00942B92">
          <w:pgSz w:w="12240" w:h="15840"/>
          <w:pgMar w:top="1440" w:right="1440" w:bottom="1440" w:left="1440" w:header="720" w:footer="720" w:gutter="0"/>
          <w:lnNumType w:countBy="1"/>
          <w:cols w:space="720"/>
          <w:docGrid w:linePitch="360"/>
        </w:sectPr>
      </w:pPr>
    </w:p>
    <w:p w14:paraId="7F57C561" w14:textId="77777777" w:rsidR="00A14DCD" w:rsidRPr="003A0444" w:rsidRDefault="00A14DCD" w:rsidP="00A14DCD">
      <w:pPr>
        <w:keepNext/>
        <w:keepLines/>
        <w:spacing w:before="320" w:after="120" w:line="360" w:lineRule="auto"/>
        <w:outlineLvl w:val="1"/>
        <w:rPr>
          <w:rFonts w:eastAsia="Times New Roman"/>
          <w:b/>
          <w:bCs/>
          <w:sz w:val="26"/>
          <w:szCs w:val="24"/>
        </w:rPr>
      </w:pPr>
      <w:bookmarkStart w:id="231" w:name="_Toc416357166"/>
      <w:bookmarkStart w:id="232" w:name="_Toc416419322"/>
      <w:bookmarkStart w:id="233" w:name="_Toc421888931"/>
      <w:r w:rsidRPr="003A0444">
        <w:rPr>
          <w:rFonts w:eastAsia="Times New Roman"/>
          <w:b/>
          <w:bCs/>
          <w:sz w:val="26"/>
          <w:szCs w:val="24"/>
        </w:rPr>
        <w:t xml:space="preserve">Attachment </w:t>
      </w:r>
      <w:r w:rsidR="00B35920" w:rsidRPr="003A0444">
        <w:rPr>
          <w:rFonts w:eastAsia="Times New Roman"/>
          <w:b/>
          <w:bCs/>
          <w:sz w:val="26"/>
          <w:szCs w:val="24"/>
        </w:rPr>
        <w:t>4</w:t>
      </w:r>
      <w:r w:rsidRPr="003A0444">
        <w:rPr>
          <w:rFonts w:eastAsia="Times New Roman"/>
          <w:b/>
          <w:bCs/>
          <w:sz w:val="26"/>
          <w:szCs w:val="24"/>
        </w:rPr>
        <w:t xml:space="preserve">A: </w:t>
      </w:r>
      <w:r w:rsidR="00F618B5" w:rsidRPr="003A0444">
        <w:rPr>
          <w:rFonts w:eastAsia="Times New Roman"/>
          <w:b/>
          <w:bCs/>
          <w:sz w:val="26"/>
          <w:szCs w:val="24"/>
        </w:rPr>
        <w:t>Conversion Plan</w:t>
      </w:r>
      <w:r w:rsidRPr="003A0444">
        <w:rPr>
          <w:rFonts w:eastAsia="Times New Roman"/>
          <w:b/>
          <w:bCs/>
          <w:sz w:val="26"/>
          <w:szCs w:val="24"/>
        </w:rPr>
        <w:t xml:space="preserve"> Requirements and Feasibility Benchmarks for </w:t>
      </w:r>
      <w:r w:rsidR="00165BDC" w:rsidRPr="003A0444">
        <w:rPr>
          <w:rFonts w:eastAsia="Times New Roman"/>
          <w:b/>
          <w:bCs/>
          <w:sz w:val="26"/>
          <w:szCs w:val="24"/>
        </w:rPr>
        <w:t>PRAC</w:t>
      </w:r>
      <w:r w:rsidRPr="003A0444">
        <w:rPr>
          <w:rFonts w:eastAsia="Times New Roman"/>
          <w:b/>
          <w:bCs/>
          <w:sz w:val="26"/>
          <w:szCs w:val="24"/>
        </w:rPr>
        <w:t xml:space="preserve"> Conversions</w:t>
      </w:r>
    </w:p>
    <w:p w14:paraId="7F57C562" w14:textId="6059AC5F" w:rsidR="00A14DCD" w:rsidRPr="00E11179" w:rsidRDefault="00A14DCD" w:rsidP="00A14DCD">
      <w:pPr>
        <w:spacing w:after="12"/>
        <w:contextualSpacing/>
        <w:rPr>
          <w:szCs w:val="24"/>
        </w:rPr>
      </w:pPr>
      <w:r w:rsidRPr="00E11179">
        <w:rPr>
          <w:szCs w:val="24"/>
        </w:rPr>
        <w:t xml:space="preserve">A </w:t>
      </w:r>
      <w:r w:rsidR="00F618B5">
        <w:rPr>
          <w:szCs w:val="24"/>
        </w:rPr>
        <w:t>Conversion Plan</w:t>
      </w:r>
      <w:r w:rsidRPr="00E11179">
        <w:rPr>
          <w:szCs w:val="24"/>
        </w:rPr>
        <w:t xml:space="preserve"> will not be reviewed until all required documentation is submitted</w:t>
      </w:r>
      <w:r>
        <w:rPr>
          <w:szCs w:val="24"/>
        </w:rPr>
        <w:t xml:space="preserve"> </w:t>
      </w:r>
      <w:r w:rsidRPr="00CC7001">
        <w:rPr>
          <w:szCs w:val="24"/>
        </w:rPr>
        <w:t>electronically to the RAD Resource Desk at www.radresource.net</w:t>
      </w:r>
      <w:r w:rsidRPr="00E11179">
        <w:rPr>
          <w:szCs w:val="24"/>
        </w:rPr>
        <w:t>. HUD will complete an initial review for document completeness within five business days of submission</w:t>
      </w:r>
      <w:r w:rsidR="009649E8">
        <w:rPr>
          <w:szCs w:val="24"/>
        </w:rPr>
        <w:t xml:space="preserve"> and will notify the </w:t>
      </w:r>
      <w:r w:rsidR="000078CE">
        <w:rPr>
          <w:szCs w:val="24"/>
        </w:rPr>
        <w:t>Project Owner</w:t>
      </w:r>
      <w:r w:rsidR="009649E8">
        <w:rPr>
          <w:szCs w:val="24"/>
        </w:rPr>
        <w:t xml:space="preserve"> of deficiencies</w:t>
      </w:r>
      <w:r w:rsidR="00AD131C">
        <w:rPr>
          <w:szCs w:val="24"/>
        </w:rPr>
        <w:t xml:space="preserve">. </w:t>
      </w:r>
      <w:r w:rsidR="009649E8">
        <w:rPr>
          <w:szCs w:val="24"/>
        </w:rPr>
        <w:t>O</w:t>
      </w:r>
      <w:r w:rsidRPr="00E11179">
        <w:rPr>
          <w:szCs w:val="24"/>
        </w:rPr>
        <w:t xml:space="preserve">nce HUD has determined that all required documents </w:t>
      </w:r>
      <w:r w:rsidR="009649E8">
        <w:rPr>
          <w:szCs w:val="24"/>
        </w:rPr>
        <w:t xml:space="preserve">appear to </w:t>
      </w:r>
      <w:r w:rsidRPr="00E11179">
        <w:rPr>
          <w:szCs w:val="24"/>
        </w:rPr>
        <w:t xml:space="preserve">have been received, HUD will review the </w:t>
      </w:r>
      <w:r w:rsidR="00905855">
        <w:rPr>
          <w:szCs w:val="24"/>
        </w:rPr>
        <w:t>submission</w:t>
      </w:r>
      <w:r w:rsidR="00AD131C">
        <w:rPr>
          <w:szCs w:val="24"/>
        </w:rPr>
        <w:t xml:space="preserve">. </w:t>
      </w:r>
    </w:p>
    <w:p w14:paraId="7F57C563" w14:textId="77777777" w:rsidR="00A14DCD" w:rsidRPr="00E11179" w:rsidRDefault="00A14DCD" w:rsidP="00A14DCD">
      <w:pPr>
        <w:spacing w:after="12"/>
        <w:contextualSpacing/>
        <w:rPr>
          <w:szCs w:val="24"/>
        </w:rPr>
      </w:pPr>
    </w:p>
    <w:p w14:paraId="7F57C564" w14:textId="4CE3748F" w:rsidR="00A14DCD" w:rsidRPr="00E11179" w:rsidRDefault="00A14DCD" w:rsidP="00A14DCD">
      <w:pPr>
        <w:spacing w:after="12"/>
        <w:contextualSpacing/>
        <w:rPr>
          <w:szCs w:val="24"/>
        </w:rPr>
      </w:pPr>
      <w:r w:rsidRPr="00E11179">
        <w:rPr>
          <w:szCs w:val="24"/>
        </w:rPr>
        <w:t xml:space="preserve">HUD’s purpose in reviewing </w:t>
      </w:r>
      <w:r w:rsidR="00905855">
        <w:rPr>
          <w:szCs w:val="24"/>
        </w:rPr>
        <w:t xml:space="preserve">the </w:t>
      </w:r>
      <w:r w:rsidR="00F618B5">
        <w:rPr>
          <w:szCs w:val="24"/>
        </w:rPr>
        <w:t>Conversion Plan</w:t>
      </w:r>
      <w:r w:rsidRPr="00E11179">
        <w:rPr>
          <w:szCs w:val="24"/>
        </w:rPr>
        <w:t xml:space="preserve"> is to ensure the long-term physical and financial viability of the Covered Project</w:t>
      </w:r>
      <w:r w:rsidR="004000F3">
        <w:rPr>
          <w:szCs w:val="24"/>
        </w:rPr>
        <w:t xml:space="preserve"> in providing quality, supportive housing to elderly residents</w:t>
      </w:r>
      <w:r w:rsidRPr="00E11179">
        <w:rPr>
          <w:szCs w:val="24"/>
        </w:rPr>
        <w:t xml:space="preserve">. HUD reserves the right to reject any </w:t>
      </w:r>
      <w:r w:rsidR="00F618B5">
        <w:rPr>
          <w:szCs w:val="24"/>
        </w:rPr>
        <w:t>Conversion Plan</w:t>
      </w:r>
      <w:r w:rsidRPr="00E11179">
        <w:rPr>
          <w:szCs w:val="24"/>
        </w:rPr>
        <w:t xml:space="preserve"> if the information provided is not complete, accurate, or in compliance with the submission requirements listed below. </w:t>
      </w:r>
      <w:r w:rsidR="00905855" w:rsidRPr="00E11179">
        <w:rPr>
          <w:szCs w:val="24"/>
        </w:rPr>
        <w:t xml:space="preserve">If a </w:t>
      </w:r>
      <w:r w:rsidR="00905855">
        <w:rPr>
          <w:szCs w:val="24"/>
        </w:rPr>
        <w:t>Conversion Plan</w:t>
      </w:r>
      <w:r w:rsidR="00905855" w:rsidRPr="00E11179">
        <w:rPr>
          <w:szCs w:val="24"/>
        </w:rPr>
        <w:t xml:space="preserve"> fails one or more feasibility benchmarks, HUD may</w:t>
      </w:r>
      <w:r w:rsidR="00905855">
        <w:rPr>
          <w:szCs w:val="24"/>
        </w:rPr>
        <w:t>, in its sole discretion,</w:t>
      </w:r>
      <w:r w:rsidR="00905855" w:rsidRPr="00E11179">
        <w:rPr>
          <w:szCs w:val="24"/>
        </w:rPr>
        <w:t xml:space="preserve"> still accept the </w:t>
      </w:r>
      <w:r w:rsidR="00905855">
        <w:rPr>
          <w:szCs w:val="24"/>
        </w:rPr>
        <w:t>Conversion Plan</w:t>
      </w:r>
      <w:r w:rsidR="00905855" w:rsidRPr="00E11179">
        <w:rPr>
          <w:szCs w:val="24"/>
        </w:rPr>
        <w:t xml:space="preserve"> if HUD determines that the </w:t>
      </w:r>
      <w:r w:rsidR="00905855">
        <w:rPr>
          <w:szCs w:val="24"/>
        </w:rPr>
        <w:t>Conversion Plan</w:t>
      </w:r>
      <w:r w:rsidR="00905855" w:rsidRPr="00E11179">
        <w:rPr>
          <w:szCs w:val="24"/>
        </w:rPr>
        <w:t xml:space="preserve"> is consistent with the long-term physical and financial viability of the </w:t>
      </w:r>
      <w:r w:rsidR="00032E85">
        <w:rPr>
          <w:szCs w:val="24"/>
        </w:rPr>
        <w:t xml:space="preserve">Covered </w:t>
      </w:r>
      <w:r w:rsidR="00887E42">
        <w:rPr>
          <w:szCs w:val="24"/>
        </w:rPr>
        <w:t>P</w:t>
      </w:r>
      <w:r w:rsidR="00905855" w:rsidRPr="00E11179">
        <w:rPr>
          <w:szCs w:val="24"/>
        </w:rPr>
        <w:t>roject</w:t>
      </w:r>
      <w:r w:rsidR="00905855">
        <w:rPr>
          <w:szCs w:val="24"/>
        </w:rPr>
        <w:t>,</w:t>
      </w:r>
      <w:r w:rsidR="00905855" w:rsidRPr="00905855">
        <w:rPr>
          <w:szCs w:val="24"/>
        </w:rPr>
        <w:t xml:space="preserve"> </w:t>
      </w:r>
      <w:r w:rsidR="00905855" w:rsidRPr="00E11179">
        <w:rPr>
          <w:szCs w:val="24"/>
        </w:rPr>
        <w:t xml:space="preserve">and/or the </w:t>
      </w:r>
      <w:r w:rsidR="000078CE">
        <w:rPr>
          <w:szCs w:val="24"/>
        </w:rPr>
        <w:t>Project Owner</w:t>
      </w:r>
      <w:r w:rsidR="00905855" w:rsidRPr="00E11179">
        <w:rPr>
          <w:szCs w:val="24"/>
        </w:rPr>
        <w:t xml:space="preserve"> </w:t>
      </w:r>
      <w:r w:rsidR="00905855">
        <w:rPr>
          <w:szCs w:val="24"/>
        </w:rPr>
        <w:t xml:space="preserve">has demonstrated through historical data or other means that the </w:t>
      </w:r>
      <w:r w:rsidR="000078CE">
        <w:rPr>
          <w:szCs w:val="24"/>
        </w:rPr>
        <w:t>Project Owner</w:t>
      </w:r>
      <w:r w:rsidR="00905855">
        <w:rPr>
          <w:szCs w:val="24"/>
        </w:rPr>
        <w:t xml:space="preserve"> </w:t>
      </w:r>
      <w:r w:rsidR="00905855" w:rsidRPr="00E11179">
        <w:rPr>
          <w:szCs w:val="24"/>
        </w:rPr>
        <w:t xml:space="preserve">can </w:t>
      </w:r>
      <w:r w:rsidR="00905855">
        <w:rPr>
          <w:szCs w:val="24"/>
        </w:rPr>
        <w:t xml:space="preserve">satisfactorily maintain and manage the </w:t>
      </w:r>
      <w:r w:rsidR="00032E85">
        <w:rPr>
          <w:szCs w:val="24"/>
        </w:rPr>
        <w:t xml:space="preserve">Covered </w:t>
      </w:r>
      <w:r w:rsidR="00887E42">
        <w:rPr>
          <w:szCs w:val="24"/>
        </w:rPr>
        <w:t>P</w:t>
      </w:r>
      <w:r w:rsidR="00905855">
        <w:rPr>
          <w:szCs w:val="24"/>
        </w:rPr>
        <w:t>roject as presented in the Conversion Plan.</w:t>
      </w:r>
      <w:r w:rsidR="00905855" w:rsidRPr="00E11179">
        <w:rPr>
          <w:szCs w:val="24"/>
        </w:rPr>
        <w:t xml:space="preserve"> </w:t>
      </w:r>
      <w:r w:rsidRPr="00E11179">
        <w:rPr>
          <w:szCs w:val="24"/>
        </w:rPr>
        <w:t xml:space="preserve">HUD will not accept the </w:t>
      </w:r>
      <w:r w:rsidR="00F618B5">
        <w:rPr>
          <w:szCs w:val="24"/>
        </w:rPr>
        <w:t>Conversion Plan</w:t>
      </w:r>
      <w:r w:rsidRPr="00E11179">
        <w:rPr>
          <w:szCs w:val="24"/>
        </w:rPr>
        <w:t xml:space="preserve"> if the </w:t>
      </w:r>
      <w:r w:rsidR="00032E85">
        <w:rPr>
          <w:szCs w:val="24"/>
        </w:rPr>
        <w:t xml:space="preserve">Covered </w:t>
      </w:r>
      <w:r w:rsidR="00887E42">
        <w:rPr>
          <w:szCs w:val="24"/>
        </w:rPr>
        <w:t>P</w:t>
      </w:r>
      <w:r w:rsidRPr="00E11179">
        <w:rPr>
          <w:szCs w:val="24"/>
        </w:rPr>
        <w:t>roject does not meet environmental review requirements, as described below.</w:t>
      </w:r>
    </w:p>
    <w:p w14:paraId="7F57C565" w14:textId="77777777" w:rsidR="00A14DCD" w:rsidRPr="00E11179" w:rsidRDefault="00A14DCD" w:rsidP="00A14DCD">
      <w:pPr>
        <w:spacing w:after="12"/>
        <w:contextualSpacing/>
        <w:rPr>
          <w:szCs w:val="24"/>
        </w:rPr>
      </w:pPr>
    </w:p>
    <w:p w14:paraId="7F57C566" w14:textId="77777777" w:rsidR="00A14DCD" w:rsidRPr="00E11179" w:rsidRDefault="00A14DCD" w:rsidP="00A14DCD">
      <w:pPr>
        <w:spacing w:after="12"/>
        <w:contextualSpacing/>
        <w:rPr>
          <w:szCs w:val="24"/>
        </w:rPr>
      </w:pPr>
      <w:r w:rsidRPr="00E11179">
        <w:rPr>
          <w:szCs w:val="24"/>
        </w:rPr>
        <w:t xml:space="preserve">Below are all the required components of a complete </w:t>
      </w:r>
      <w:r w:rsidR="00F618B5">
        <w:rPr>
          <w:szCs w:val="24"/>
        </w:rPr>
        <w:t>Conversion Plan</w:t>
      </w:r>
      <w:r w:rsidRPr="00E11179">
        <w:rPr>
          <w:szCs w:val="24"/>
        </w:rPr>
        <w:t xml:space="preserve"> and the requirements of each component. </w:t>
      </w:r>
      <w:r w:rsidRPr="00CC7001">
        <w:rPr>
          <w:szCs w:val="24"/>
        </w:rPr>
        <w:t xml:space="preserve">Additional guidance in preparing the </w:t>
      </w:r>
      <w:r w:rsidR="00F618B5">
        <w:rPr>
          <w:szCs w:val="24"/>
        </w:rPr>
        <w:t>Conversion Plan</w:t>
      </w:r>
      <w:r w:rsidRPr="00CC7001">
        <w:rPr>
          <w:szCs w:val="24"/>
        </w:rPr>
        <w:t xml:space="preserve"> is available in </w:t>
      </w:r>
      <w:r w:rsidR="00813B0B">
        <w:rPr>
          <w:szCs w:val="24"/>
        </w:rPr>
        <w:t>t</w:t>
      </w:r>
      <w:r w:rsidRPr="00CC7001">
        <w:rPr>
          <w:szCs w:val="24"/>
        </w:rPr>
        <w:t xml:space="preserve">he </w:t>
      </w:r>
      <w:r w:rsidR="00165BDC">
        <w:rPr>
          <w:szCs w:val="24"/>
        </w:rPr>
        <w:t>PRAC</w:t>
      </w:r>
      <w:r w:rsidRPr="00CC7001">
        <w:rPr>
          <w:szCs w:val="24"/>
        </w:rPr>
        <w:t xml:space="preserve"> Processing Guide located at </w:t>
      </w:r>
      <w:hyperlink r:id="rId19" w:history="1">
        <w:r w:rsidRPr="00CC7001">
          <w:rPr>
            <w:rStyle w:val="Hyperlink"/>
            <w:szCs w:val="24"/>
          </w:rPr>
          <w:t>http://www.radresource.net/2c_library.cfm</w:t>
        </w:r>
      </w:hyperlink>
      <w:r w:rsidR="00AD131C">
        <w:rPr>
          <w:szCs w:val="24"/>
        </w:rPr>
        <w:t xml:space="preserve">. </w:t>
      </w:r>
    </w:p>
    <w:p w14:paraId="7F57C567" w14:textId="77777777" w:rsidR="00A14DCD" w:rsidRPr="00E11179" w:rsidRDefault="00A14DCD" w:rsidP="00A14DCD">
      <w:pPr>
        <w:spacing w:after="12"/>
        <w:contextualSpacing/>
        <w:rPr>
          <w:szCs w:val="24"/>
        </w:rPr>
      </w:pPr>
    </w:p>
    <w:p w14:paraId="6A71B712" w14:textId="36F282B0" w:rsidR="00F415AC" w:rsidRPr="00761E49" w:rsidRDefault="00A2779C" w:rsidP="00794828">
      <w:pPr>
        <w:numPr>
          <w:ilvl w:val="0"/>
          <w:numId w:val="18"/>
        </w:numPr>
        <w:spacing w:after="12"/>
        <w:ind w:left="360" w:hanging="360"/>
        <w:rPr>
          <w:szCs w:val="24"/>
        </w:rPr>
      </w:pPr>
      <w:r>
        <w:rPr>
          <w:b/>
          <w:szCs w:val="24"/>
        </w:rPr>
        <w:t xml:space="preserve">Conversion </w:t>
      </w:r>
      <w:r w:rsidR="00A14DCD">
        <w:rPr>
          <w:b/>
          <w:szCs w:val="24"/>
        </w:rPr>
        <w:t xml:space="preserve">Overview. </w:t>
      </w:r>
      <w:r w:rsidR="00A14DCD" w:rsidRPr="000772A0">
        <w:rPr>
          <w:szCs w:val="24"/>
        </w:rPr>
        <w:t xml:space="preserve">A narrative summary of the </w:t>
      </w:r>
      <w:r w:rsidR="00032E85">
        <w:rPr>
          <w:szCs w:val="24"/>
        </w:rPr>
        <w:t xml:space="preserve">Covered </w:t>
      </w:r>
      <w:r w:rsidR="00887E42">
        <w:rPr>
          <w:szCs w:val="24"/>
        </w:rPr>
        <w:t>P</w:t>
      </w:r>
      <w:r w:rsidR="00A14DCD" w:rsidRPr="000772A0">
        <w:rPr>
          <w:szCs w:val="24"/>
        </w:rPr>
        <w:t>ro</w:t>
      </w:r>
      <w:r w:rsidR="006B5A34">
        <w:rPr>
          <w:szCs w:val="24"/>
        </w:rPr>
        <w:t>ject</w:t>
      </w:r>
      <w:r w:rsidR="00A14DCD" w:rsidRPr="000772A0">
        <w:rPr>
          <w:szCs w:val="24"/>
        </w:rPr>
        <w:t xml:space="preserve"> and </w:t>
      </w:r>
      <w:r w:rsidR="00BA6CD0">
        <w:rPr>
          <w:szCs w:val="24"/>
        </w:rPr>
        <w:t xml:space="preserve">the </w:t>
      </w:r>
      <w:r w:rsidR="000078CE">
        <w:rPr>
          <w:szCs w:val="24"/>
        </w:rPr>
        <w:t>Project Owner</w:t>
      </w:r>
      <w:r w:rsidR="00BA6CD0">
        <w:rPr>
          <w:szCs w:val="24"/>
        </w:rPr>
        <w:t>’s</w:t>
      </w:r>
      <w:r w:rsidR="00A14DCD" w:rsidRPr="000772A0">
        <w:rPr>
          <w:szCs w:val="24"/>
        </w:rPr>
        <w:t xml:space="preserve"> conversion goals. Include details such as a description of</w:t>
      </w:r>
      <w:r w:rsidR="00A14DCD">
        <w:rPr>
          <w:szCs w:val="24"/>
        </w:rPr>
        <w:t xml:space="preserve"> </w:t>
      </w:r>
      <w:r w:rsidR="00A14DCD" w:rsidRPr="00EB0C70">
        <w:rPr>
          <w:szCs w:val="24"/>
        </w:rPr>
        <w:t xml:space="preserve">the </w:t>
      </w:r>
      <w:r w:rsidR="00905855">
        <w:rPr>
          <w:szCs w:val="24"/>
        </w:rPr>
        <w:t xml:space="preserve">physical </w:t>
      </w:r>
      <w:r w:rsidR="00887E42">
        <w:rPr>
          <w:szCs w:val="24"/>
        </w:rPr>
        <w:t>P</w:t>
      </w:r>
      <w:r w:rsidR="00905855">
        <w:rPr>
          <w:szCs w:val="24"/>
        </w:rPr>
        <w:t>ro</w:t>
      </w:r>
      <w:r w:rsidR="006B5A34">
        <w:rPr>
          <w:szCs w:val="24"/>
        </w:rPr>
        <w:t>ject</w:t>
      </w:r>
      <w:r w:rsidR="00905855">
        <w:rPr>
          <w:szCs w:val="24"/>
        </w:rPr>
        <w:t xml:space="preserve">, </w:t>
      </w:r>
      <w:r w:rsidR="00887E42">
        <w:rPr>
          <w:szCs w:val="24"/>
        </w:rPr>
        <w:t>P</w:t>
      </w:r>
      <w:r w:rsidR="00905855">
        <w:rPr>
          <w:szCs w:val="24"/>
        </w:rPr>
        <w:t>roject history</w:t>
      </w:r>
      <w:r w:rsidR="00A14DCD" w:rsidRPr="00EB0C70">
        <w:rPr>
          <w:szCs w:val="24"/>
        </w:rPr>
        <w:t xml:space="preserve">, </w:t>
      </w:r>
      <w:r w:rsidR="00905855">
        <w:rPr>
          <w:szCs w:val="24"/>
        </w:rPr>
        <w:t xml:space="preserve">identification of </w:t>
      </w:r>
      <w:r w:rsidR="00843C8D">
        <w:rPr>
          <w:szCs w:val="24"/>
        </w:rPr>
        <w:t xml:space="preserve">immediate capital needs of the </w:t>
      </w:r>
      <w:r w:rsidR="00887E42">
        <w:rPr>
          <w:szCs w:val="24"/>
        </w:rPr>
        <w:t>P</w:t>
      </w:r>
      <w:r w:rsidR="00843C8D">
        <w:rPr>
          <w:szCs w:val="24"/>
        </w:rPr>
        <w:t xml:space="preserve">roject, </w:t>
      </w:r>
      <w:r w:rsidR="00C13D75">
        <w:rPr>
          <w:szCs w:val="24"/>
        </w:rPr>
        <w:t xml:space="preserve">identification of other properties to be held within the same ownership entity, </w:t>
      </w:r>
      <w:r w:rsidR="00843C8D">
        <w:rPr>
          <w:szCs w:val="24"/>
        </w:rPr>
        <w:t xml:space="preserve">anticipated </w:t>
      </w:r>
      <w:r w:rsidR="00A14DCD" w:rsidRPr="00EB0C70">
        <w:rPr>
          <w:szCs w:val="24"/>
        </w:rPr>
        <w:t>financing</w:t>
      </w:r>
      <w:r w:rsidR="00843C8D">
        <w:rPr>
          <w:szCs w:val="24"/>
        </w:rPr>
        <w:t xml:space="preserve"> that will be obtained to meet the capital needs,</w:t>
      </w:r>
      <w:r w:rsidR="0050697A">
        <w:rPr>
          <w:szCs w:val="24"/>
        </w:rPr>
        <w:t xml:space="preserve"> anticipated relocation, and circumstances such as new construction, Transfer of Assistance, scattered site, and reconfiguration of units. </w:t>
      </w:r>
      <w:r w:rsidR="00BA6CD0">
        <w:rPr>
          <w:szCs w:val="24"/>
        </w:rPr>
        <w:t xml:space="preserve"> </w:t>
      </w:r>
    </w:p>
    <w:p w14:paraId="7F57C569" w14:textId="77777777" w:rsidR="00A14DCD" w:rsidRPr="00BA6CD0" w:rsidRDefault="00A14DCD" w:rsidP="00BA6CD0">
      <w:pPr>
        <w:tabs>
          <w:tab w:val="left" w:pos="630"/>
        </w:tabs>
        <w:spacing w:after="12"/>
        <w:ind w:left="360"/>
        <w:contextualSpacing/>
        <w:rPr>
          <w:szCs w:val="24"/>
        </w:rPr>
      </w:pPr>
    </w:p>
    <w:p w14:paraId="7F57C56A" w14:textId="6E77A814" w:rsidR="009E5B6D" w:rsidRPr="009E5B6D" w:rsidRDefault="009E5B6D" w:rsidP="00794828">
      <w:pPr>
        <w:numPr>
          <w:ilvl w:val="0"/>
          <w:numId w:val="18"/>
        </w:numPr>
        <w:tabs>
          <w:tab w:val="left" w:pos="630"/>
        </w:tabs>
        <w:spacing w:after="12"/>
        <w:ind w:left="360" w:hanging="360"/>
        <w:contextualSpacing/>
        <w:rPr>
          <w:b/>
          <w:szCs w:val="24"/>
        </w:rPr>
      </w:pPr>
      <w:r w:rsidRPr="0093022C">
        <w:rPr>
          <w:b/>
          <w:szCs w:val="24"/>
        </w:rPr>
        <w:t>Proposed Units.</w:t>
      </w:r>
      <w:r w:rsidRPr="0093022C">
        <w:rPr>
          <w:szCs w:val="24"/>
        </w:rPr>
        <w:t xml:space="preserve"> The </w:t>
      </w:r>
      <w:r w:rsidR="000078CE">
        <w:rPr>
          <w:szCs w:val="24"/>
        </w:rPr>
        <w:t>Project Owner</w:t>
      </w:r>
      <w:r w:rsidRPr="0093022C">
        <w:rPr>
          <w:szCs w:val="24"/>
        </w:rPr>
        <w:t xml:space="preserve"> must provide the number of </w:t>
      </w:r>
      <w:r w:rsidR="00FE5546">
        <w:rPr>
          <w:szCs w:val="24"/>
        </w:rPr>
        <w:t xml:space="preserve">units </w:t>
      </w:r>
      <w:r w:rsidR="00E21656">
        <w:rPr>
          <w:szCs w:val="24"/>
        </w:rPr>
        <w:t xml:space="preserve">by bedroom size </w:t>
      </w:r>
      <w:r w:rsidR="00FE5546">
        <w:rPr>
          <w:szCs w:val="24"/>
        </w:rPr>
        <w:t xml:space="preserve">proposed to be covered </w:t>
      </w:r>
      <w:r w:rsidR="00E21656">
        <w:rPr>
          <w:szCs w:val="24"/>
        </w:rPr>
        <w:t xml:space="preserve">by the HAP Contract. </w:t>
      </w:r>
      <w:r w:rsidRPr="0093022C">
        <w:rPr>
          <w:szCs w:val="24"/>
        </w:rPr>
        <w:t xml:space="preserve">If a reconfiguration of units is proposed, the </w:t>
      </w:r>
      <w:r w:rsidR="000078CE">
        <w:rPr>
          <w:szCs w:val="24"/>
        </w:rPr>
        <w:t>Project Owner</w:t>
      </w:r>
      <w:r w:rsidRPr="0093022C">
        <w:rPr>
          <w:szCs w:val="24"/>
        </w:rPr>
        <w:t xml:space="preserve"> must submit a narrative explanation of the proposal, including a description of the units to be removed</w:t>
      </w:r>
      <w:r>
        <w:rPr>
          <w:szCs w:val="24"/>
        </w:rPr>
        <w:t xml:space="preserve"> and</w:t>
      </w:r>
      <w:r w:rsidRPr="0093022C">
        <w:rPr>
          <w:szCs w:val="24"/>
        </w:rPr>
        <w:t xml:space="preserve"> an explanation of why the </w:t>
      </w:r>
      <w:r w:rsidR="00756F1C">
        <w:rPr>
          <w:szCs w:val="24"/>
        </w:rPr>
        <w:t>P</w:t>
      </w:r>
      <w:r w:rsidRPr="0093022C">
        <w:rPr>
          <w:szCs w:val="24"/>
        </w:rPr>
        <w:t>roject can better serve assisted residents at the reduced number</w:t>
      </w:r>
      <w:r w:rsidR="00AD131C">
        <w:rPr>
          <w:szCs w:val="24"/>
        </w:rPr>
        <w:t xml:space="preserve">. </w:t>
      </w:r>
      <w:r>
        <w:rPr>
          <w:szCs w:val="24"/>
        </w:rPr>
        <w:t xml:space="preserve">Discussion of the proposed units can be included in the Conversion Overview. </w:t>
      </w:r>
    </w:p>
    <w:p w14:paraId="7F57C56B" w14:textId="77777777" w:rsidR="009E5B6D" w:rsidRPr="00C83ECB" w:rsidRDefault="009E5B6D" w:rsidP="009E5B6D">
      <w:pPr>
        <w:tabs>
          <w:tab w:val="left" w:pos="630"/>
        </w:tabs>
        <w:spacing w:after="12"/>
        <w:contextualSpacing/>
        <w:rPr>
          <w:b/>
          <w:szCs w:val="24"/>
        </w:rPr>
      </w:pPr>
    </w:p>
    <w:p w14:paraId="7F57C56D" w14:textId="723BBB96" w:rsidR="007A1C9C" w:rsidRPr="00F212AA" w:rsidRDefault="00BA6CD0" w:rsidP="00794828">
      <w:pPr>
        <w:numPr>
          <w:ilvl w:val="0"/>
          <w:numId w:val="18"/>
        </w:numPr>
        <w:spacing w:after="12"/>
        <w:ind w:left="360" w:hanging="360"/>
        <w:contextualSpacing/>
        <w:rPr>
          <w:szCs w:val="24"/>
        </w:rPr>
      </w:pPr>
      <w:r w:rsidRPr="00F212AA">
        <w:rPr>
          <w:b/>
          <w:szCs w:val="24"/>
        </w:rPr>
        <w:t xml:space="preserve">PRAC Contract. </w:t>
      </w:r>
      <w:r w:rsidRPr="00F212AA">
        <w:rPr>
          <w:szCs w:val="24"/>
        </w:rPr>
        <w:t>Submit a copy of the fully executed current PRAC Contract including all exhibits</w:t>
      </w:r>
      <w:r w:rsidR="00E21656" w:rsidRPr="00F212AA">
        <w:rPr>
          <w:szCs w:val="24"/>
        </w:rPr>
        <w:t>.</w:t>
      </w:r>
    </w:p>
    <w:p w14:paraId="7F57C56E" w14:textId="77777777" w:rsidR="00C83ECB" w:rsidRPr="0093022C" w:rsidRDefault="00C83ECB" w:rsidP="00C83ECB">
      <w:pPr>
        <w:tabs>
          <w:tab w:val="left" w:pos="630"/>
        </w:tabs>
        <w:spacing w:after="12"/>
        <w:contextualSpacing/>
        <w:rPr>
          <w:b/>
          <w:szCs w:val="24"/>
        </w:rPr>
      </w:pPr>
    </w:p>
    <w:p w14:paraId="7F57C56F" w14:textId="7A1685FB" w:rsidR="00C1197B" w:rsidRDefault="00A14DCD" w:rsidP="00794828">
      <w:pPr>
        <w:numPr>
          <w:ilvl w:val="0"/>
          <w:numId w:val="18"/>
        </w:numPr>
        <w:tabs>
          <w:tab w:val="left" w:pos="630"/>
        </w:tabs>
        <w:spacing w:after="12"/>
        <w:ind w:left="360" w:hanging="360"/>
        <w:contextualSpacing/>
        <w:rPr>
          <w:szCs w:val="24"/>
        </w:rPr>
      </w:pPr>
      <w:r w:rsidRPr="00C1197B">
        <w:rPr>
          <w:b/>
          <w:szCs w:val="24"/>
        </w:rPr>
        <w:t>Statement of Compliance with Fair Housing and Civil Rights</w:t>
      </w:r>
      <w:r w:rsidRPr="00C1197B">
        <w:rPr>
          <w:szCs w:val="24"/>
        </w:rPr>
        <w:t xml:space="preserve">. </w:t>
      </w:r>
      <w:r w:rsidR="00DF6B86">
        <w:rPr>
          <w:szCs w:val="24"/>
        </w:rPr>
        <w:t xml:space="preserve">The </w:t>
      </w:r>
      <w:r w:rsidR="000078CE">
        <w:rPr>
          <w:szCs w:val="24"/>
        </w:rPr>
        <w:t>Project Owner</w:t>
      </w:r>
      <w:r w:rsidR="00DF6B86">
        <w:rPr>
          <w:szCs w:val="24"/>
        </w:rPr>
        <w:t xml:space="preserve"> must s</w:t>
      </w:r>
      <w:r w:rsidRPr="00C1197B">
        <w:rPr>
          <w:szCs w:val="24"/>
        </w:rPr>
        <w:t xml:space="preserve">ubmit a written statement certifying </w:t>
      </w:r>
      <w:r w:rsidR="0050697A">
        <w:rPr>
          <w:szCs w:val="24"/>
        </w:rPr>
        <w:t>that it will comply with the requirements identified in</w:t>
      </w:r>
      <w:r w:rsidRPr="00C1197B">
        <w:rPr>
          <w:szCs w:val="24"/>
        </w:rPr>
        <w:t xml:space="preserve"> section </w:t>
      </w:r>
      <w:r w:rsidR="00843C8D" w:rsidRPr="00C1197B">
        <w:rPr>
          <w:szCs w:val="24"/>
        </w:rPr>
        <w:t>4</w:t>
      </w:r>
      <w:r w:rsidRPr="00C1197B">
        <w:rPr>
          <w:szCs w:val="24"/>
        </w:rPr>
        <w:t>.3.1.</w:t>
      </w:r>
      <w:r w:rsidR="00C152DE">
        <w:rPr>
          <w:szCs w:val="24"/>
        </w:rPr>
        <w:t>B.</w:t>
      </w:r>
      <w:r w:rsidRPr="00C1197B">
        <w:rPr>
          <w:szCs w:val="24"/>
        </w:rPr>
        <w:t xml:space="preserve"> of this Notice. </w:t>
      </w:r>
    </w:p>
    <w:p w14:paraId="7F57C572" w14:textId="7EDD5C67" w:rsidR="009031C1" w:rsidRDefault="009031C1" w:rsidP="009031C1">
      <w:pPr>
        <w:spacing w:after="12"/>
        <w:ind w:left="846"/>
        <w:contextualSpacing/>
        <w:rPr>
          <w:szCs w:val="24"/>
        </w:rPr>
      </w:pPr>
    </w:p>
    <w:p w14:paraId="7F57C573" w14:textId="335852ED" w:rsidR="00A14DCD" w:rsidRPr="009031C1" w:rsidRDefault="00A14DCD" w:rsidP="00794828">
      <w:pPr>
        <w:pStyle w:val="ListParagraph"/>
        <w:numPr>
          <w:ilvl w:val="0"/>
          <w:numId w:val="18"/>
        </w:numPr>
        <w:spacing w:after="12"/>
        <w:ind w:left="360" w:hanging="360"/>
        <w:rPr>
          <w:sz w:val="24"/>
          <w:szCs w:val="24"/>
        </w:rPr>
      </w:pPr>
      <w:r w:rsidRPr="009031C1">
        <w:rPr>
          <w:b/>
          <w:sz w:val="24"/>
          <w:szCs w:val="24"/>
        </w:rPr>
        <w:t>Resident Notification.</w:t>
      </w:r>
      <w:r w:rsidRPr="009031C1">
        <w:rPr>
          <w:sz w:val="24"/>
          <w:szCs w:val="24"/>
        </w:rPr>
        <w:t xml:space="preserve"> The </w:t>
      </w:r>
      <w:r w:rsidR="000078CE">
        <w:rPr>
          <w:sz w:val="24"/>
          <w:szCs w:val="24"/>
        </w:rPr>
        <w:t>Project Owner</w:t>
      </w:r>
      <w:r w:rsidRPr="009031C1">
        <w:rPr>
          <w:sz w:val="24"/>
          <w:szCs w:val="24"/>
        </w:rPr>
        <w:t xml:space="preserve"> must provide proof of written notification informing residents of the intent to participate in RAD</w:t>
      </w:r>
      <w:r w:rsidR="00AD131C">
        <w:rPr>
          <w:sz w:val="24"/>
          <w:szCs w:val="24"/>
        </w:rPr>
        <w:t xml:space="preserve">. </w:t>
      </w:r>
      <w:r w:rsidRPr="009031C1">
        <w:rPr>
          <w:sz w:val="24"/>
          <w:szCs w:val="24"/>
        </w:rPr>
        <w:t xml:space="preserve">Include a PDF attachment of all </w:t>
      </w:r>
      <w:r w:rsidRPr="009031C1">
        <w:rPr>
          <w:b/>
          <w:sz w:val="24"/>
          <w:szCs w:val="24"/>
        </w:rPr>
        <w:t>comments received from residents</w:t>
      </w:r>
      <w:r w:rsidRPr="009031C1">
        <w:rPr>
          <w:sz w:val="24"/>
          <w:szCs w:val="24"/>
        </w:rPr>
        <w:t xml:space="preserve"> as described in Section </w:t>
      </w:r>
      <w:r w:rsidR="00843C8D" w:rsidRPr="009031C1">
        <w:rPr>
          <w:sz w:val="24"/>
          <w:szCs w:val="24"/>
        </w:rPr>
        <w:t>4</w:t>
      </w:r>
      <w:r w:rsidRPr="009031C1">
        <w:rPr>
          <w:sz w:val="24"/>
          <w:szCs w:val="24"/>
        </w:rPr>
        <w:t>.</w:t>
      </w:r>
      <w:r w:rsidR="00843C8D" w:rsidRPr="009031C1">
        <w:rPr>
          <w:sz w:val="24"/>
          <w:szCs w:val="24"/>
        </w:rPr>
        <w:t>7</w:t>
      </w:r>
      <w:r w:rsidRPr="009031C1">
        <w:rPr>
          <w:sz w:val="24"/>
          <w:szCs w:val="24"/>
        </w:rPr>
        <w:t xml:space="preserve">.3. </w:t>
      </w:r>
      <w:r w:rsidR="000078CE">
        <w:rPr>
          <w:sz w:val="24"/>
          <w:szCs w:val="24"/>
        </w:rPr>
        <w:t>Project Owner</w:t>
      </w:r>
      <w:r w:rsidRPr="009031C1">
        <w:rPr>
          <w:sz w:val="24"/>
          <w:szCs w:val="24"/>
        </w:rPr>
        <w:t xml:space="preserve">s must provide a certification that they have held the required meetings with residents and have provided residents with a reasonable time period to submit comments on the conversion. The </w:t>
      </w:r>
      <w:r w:rsidR="000078CE">
        <w:rPr>
          <w:sz w:val="24"/>
          <w:szCs w:val="24"/>
        </w:rPr>
        <w:t>Project Owner</w:t>
      </w:r>
      <w:r w:rsidRPr="009031C1">
        <w:rPr>
          <w:sz w:val="24"/>
          <w:szCs w:val="24"/>
        </w:rPr>
        <w:t xml:space="preserve"> must also provide a description of how the residents’ comments will be addressed in their plan for conversion.</w:t>
      </w:r>
    </w:p>
    <w:p w14:paraId="7F57C574" w14:textId="77777777" w:rsidR="00A14DCD" w:rsidRPr="00E11179" w:rsidRDefault="00A14DCD" w:rsidP="00A14DCD">
      <w:pPr>
        <w:spacing w:after="12"/>
        <w:ind w:left="360" w:hanging="360"/>
        <w:rPr>
          <w:szCs w:val="24"/>
        </w:rPr>
      </w:pPr>
    </w:p>
    <w:p w14:paraId="7F57C575" w14:textId="1A1411AD" w:rsidR="001E5F3A" w:rsidRDefault="00A14DCD" w:rsidP="00794828">
      <w:pPr>
        <w:numPr>
          <w:ilvl w:val="0"/>
          <w:numId w:val="18"/>
        </w:numPr>
        <w:spacing w:after="12"/>
        <w:ind w:left="360" w:hanging="360"/>
      </w:pPr>
      <w:r w:rsidRPr="007D3AC6">
        <w:rPr>
          <w:b/>
          <w:szCs w:val="24"/>
        </w:rPr>
        <w:t xml:space="preserve">Capital Needs Assessment. </w:t>
      </w:r>
      <w:r w:rsidR="00BA6CD0" w:rsidRPr="007D3AC6">
        <w:rPr>
          <w:szCs w:val="24"/>
        </w:rPr>
        <w:t xml:space="preserve">A CNA </w:t>
      </w:r>
      <w:r w:rsidR="009E5B6D">
        <w:rPr>
          <w:szCs w:val="24"/>
        </w:rPr>
        <w:t xml:space="preserve">is required in order to </w:t>
      </w:r>
      <w:r w:rsidR="00F17071">
        <w:rPr>
          <w:szCs w:val="24"/>
        </w:rPr>
        <w:t xml:space="preserve">identify the short-term and long-term capital needs of the property, which will factor into the Scope of Work and both the Initial and Annual Deposits </w:t>
      </w:r>
      <w:r w:rsidR="005C5FD8">
        <w:rPr>
          <w:szCs w:val="24"/>
        </w:rPr>
        <w:t xml:space="preserve">to </w:t>
      </w:r>
      <w:r w:rsidR="00F17071">
        <w:rPr>
          <w:szCs w:val="24"/>
        </w:rPr>
        <w:t xml:space="preserve">the Replacement Reserve. </w:t>
      </w:r>
      <w:r w:rsidR="001E5F3A">
        <w:t>See Paragraph 4.4.</w:t>
      </w:r>
      <w:r w:rsidR="00527BB1">
        <w:t>A</w:t>
      </w:r>
      <w:r w:rsidR="001E5F3A">
        <w:t>. for additional information on CNA requirements.</w:t>
      </w:r>
    </w:p>
    <w:p w14:paraId="7F57C576" w14:textId="77777777" w:rsidR="00C1197B" w:rsidRPr="00E11179" w:rsidRDefault="00C1197B" w:rsidP="001E5F3A">
      <w:pPr>
        <w:spacing w:after="12"/>
        <w:ind w:left="360"/>
        <w:rPr>
          <w:szCs w:val="24"/>
        </w:rPr>
      </w:pPr>
    </w:p>
    <w:p w14:paraId="7F57C577" w14:textId="77777777" w:rsidR="00C1197B" w:rsidRPr="00AB0844" w:rsidRDefault="00C1197B" w:rsidP="00794828">
      <w:pPr>
        <w:numPr>
          <w:ilvl w:val="0"/>
          <w:numId w:val="18"/>
        </w:numPr>
        <w:spacing w:after="12"/>
        <w:ind w:left="360" w:hanging="360"/>
        <w:rPr>
          <w:szCs w:val="24"/>
        </w:rPr>
      </w:pPr>
      <w:r>
        <w:rPr>
          <w:b/>
          <w:szCs w:val="24"/>
        </w:rPr>
        <w:t>Initial Contract Rent Setting.</w:t>
      </w:r>
      <w:r w:rsidR="00C83ECB">
        <w:rPr>
          <w:b/>
          <w:szCs w:val="24"/>
        </w:rPr>
        <w:t xml:space="preserve"> </w:t>
      </w:r>
    </w:p>
    <w:p w14:paraId="7F57C578" w14:textId="58D83D5F" w:rsidR="00C83ECB" w:rsidRPr="00AB0844" w:rsidRDefault="00C83ECB" w:rsidP="00794828">
      <w:pPr>
        <w:numPr>
          <w:ilvl w:val="1"/>
          <w:numId w:val="18"/>
        </w:numPr>
        <w:tabs>
          <w:tab w:val="clear" w:pos="936"/>
        </w:tabs>
        <w:spacing w:after="12"/>
        <w:ind w:left="720" w:hanging="180"/>
        <w:rPr>
          <w:szCs w:val="24"/>
        </w:rPr>
      </w:pPr>
      <w:r w:rsidRPr="00AB0844">
        <w:rPr>
          <w:szCs w:val="24"/>
        </w:rPr>
        <w:t xml:space="preserve">For PBV conversions, submit evidence that the </w:t>
      </w:r>
      <w:r w:rsidR="000078CE">
        <w:rPr>
          <w:szCs w:val="24"/>
        </w:rPr>
        <w:t>Project Owner</w:t>
      </w:r>
      <w:r w:rsidRPr="00AB0844">
        <w:rPr>
          <w:szCs w:val="24"/>
        </w:rPr>
        <w:t xml:space="preserve">’s proposed rents are in accordance with the </w:t>
      </w:r>
      <w:r w:rsidR="00C05BC7">
        <w:rPr>
          <w:szCs w:val="24"/>
        </w:rPr>
        <w:t>PHA</w:t>
      </w:r>
      <w:r w:rsidR="00992B15">
        <w:rPr>
          <w:szCs w:val="24"/>
        </w:rPr>
        <w:t>’s</w:t>
      </w:r>
      <w:r w:rsidRPr="00AB0844">
        <w:rPr>
          <w:szCs w:val="24"/>
        </w:rPr>
        <w:t xml:space="preserve"> rent setting</w:t>
      </w:r>
      <w:r>
        <w:rPr>
          <w:szCs w:val="24"/>
        </w:rPr>
        <w:t xml:space="preserve">. See Section </w:t>
      </w:r>
      <w:r w:rsidR="00B3704D">
        <w:rPr>
          <w:szCs w:val="24"/>
        </w:rPr>
        <w:t>4.5.G for additional information on Initial Contract Rent Setting for PBV.</w:t>
      </w:r>
    </w:p>
    <w:p w14:paraId="7F57C57D" w14:textId="6C8043E0" w:rsidR="007806B4" w:rsidRDefault="00C1197B" w:rsidP="00794828">
      <w:pPr>
        <w:numPr>
          <w:ilvl w:val="1"/>
          <w:numId w:val="18"/>
        </w:numPr>
        <w:tabs>
          <w:tab w:val="clear" w:pos="936"/>
        </w:tabs>
        <w:spacing w:after="12"/>
        <w:ind w:left="720" w:hanging="180"/>
        <w:rPr>
          <w:szCs w:val="24"/>
        </w:rPr>
      </w:pPr>
      <w:r>
        <w:rPr>
          <w:szCs w:val="24"/>
        </w:rPr>
        <w:t xml:space="preserve">For </w:t>
      </w:r>
      <w:r w:rsidRPr="00AB0844">
        <w:rPr>
          <w:szCs w:val="24"/>
        </w:rPr>
        <w:t xml:space="preserve">PBRA conversions, </w:t>
      </w:r>
      <w:r w:rsidR="00996CEC">
        <w:rPr>
          <w:szCs w:val="24"/>
        </w:rPr>
        <w:t xml:space="preserve">the rents cannot </w:t>
      </w:r>
      <w:r w:rsidR="00996CEC" w:rsidRPr="001C0F7F">
        <w:rPr>
          <w:szCs w:val="24"/>
        </w:rPr>
        <w:t>exceed the limits set forth in Section 4.6.C</w:t>
      </w:r>
    </w:p>
    <w:p w14:paraId="0FB8E2E3" w14:textId="77777777" w:rsidR="00996CEC" w:rsidRDefault="00996CEC" w:rsidP="00996CEC">
      <w:pPr>
        <w:spacing w:after="12"/>
        <w:ind w:left="720"/>
        <w:rPr>
          <w:szCs w:val="24"/>
        </w:rPr>
      </w:pPr>
    </w:p>
    <w:p w14:paraId="7F57C57E" w14:textId="77777777" w:rsidR="00A14DCD" w:rsidRPr="00C87A39" w:rsidRDefault="00A14DCD" w:rsidP="00794828">
      <w:pPr>
        <w:numPr>
          <w:ilvl w:val="0"/>
          <w:numId w:val="18"/>
        </w:numPr>
        <w:spacing w:after="12"/>
        <w:ind w:left="360" w:hanging="360"/>
        <w:rPr>
          <w:szCs w:val="24"/>
        </w:rPr>
      </w:pPr>
      <w:r w:rsidRPr="00E11179">
        <w:rPr>
          <w:b/>
          <w:szCs w:val="24"/>
        </w:rPr>
        <w:t>Scope of Work.</w:t>
      </w:r>
      <w:r w:rsidRPr="00E11179">
        <w:rPr>
          <w:szCs w:val="24"/>
        </w:rPr>
        <w:t xml:space="preserve"> </w:t>
      </w:r>
      <w:r w:rsidR="00527BB1">
        <w:rPr>
          <w:szCs w:val="24"/>
        </w:rPr>
        <w:t>T</w:t>
      </w:r>
      <w:r w:rsidR="00F86518">
        <w:rPr>
          <w:szCs w:val="24"/>
        </w:rPr>
        <w:t xml:space="preserve">he Conversion Plan must include a </w:t>
      </w:r>
      <w:r w:rsidRPr="00C87A39">
        <w:rPr>
          <w:szCs w:val="24"/>
        </w:rPr>
        <w:t>Scope of Work</w:t>
      </w:r>
      <w:r w:rsidR="00527BB1">
        <w:rPr>
          <w:szCs w:val="24"/>
        </w:rPr>
        <w:t xml:space="preserve"> that accompanies the CNA</w:t>
      </w:r>
      <w:r w:rsidR="00F86518">
        <w:rPr>
          <w:szCs w:val="24"/>
        </w:rPr>
        <w:t xml:space="preserve">. The Scope of Work </w:t>
      </w:r>
      <w:r w:rsidRPr="00C87A39">
        <w:rPr>
          <w:szCs w:val="24"/>
        </w:rPr>
        <w:t>must:</w:t>
      </w:r>
    </w:p>
    <w:p w14:paraId="7F57C57F" w14:textId="203250EE" w:rsidR="00A14DCD" w:rsidRPr="00E11179" w:rsidRDefault="00A14DCD" w:rsidP="00794828">
      <w:pPr>
        <w:numPr>
          <w:ilvl w:val="0"/>
          <w:numId w:val="19"/>
        </w:numPr>
        <w:spacing w:after="12"/>
        <w:ind w:left="720"/>
        <w:rPr>
          <w:szCs w:val="24"/>
        </w:rPr>
      </w:pPr>
      <w:r w:rsidRPr="00E11179">
        <w:rPr>
          <w:szCs w:val="24"/>
        </w:rPr>
        <w:t xml:space="preserve">Identify and address all </w:t>
      </w:r>
      <w:r w:rsidR="005A057A">
        <w:rPr>
          <w:szCs w:val="24"/>
        </w:rPr>
        <w:t xml:space="preserve">repairs identified in the CNA as critical, immediate or required within the first two years following conversion when the total of such repairs </w:t>
      </w:r>
      <w:r w:rsidR="00996CEC">
        <w:rPr>
          <w:szCs w:val="24"/>
        </w:rPr>
        <w:t>exce</w:t>
      </w:r>
      <w:r w:rsidR="005A057A">
        <w:rPr>
          <w:szCs w:val="24"/>
        </w:rPr>
        <w:t>eds</w:t>
      </w:r>
      <w:r w:rsidR="00996CEC">
        <w:rPr>
          <w:szCs w:val="24"/>
        </w:rPr>
        <w:t xml:space="preserve"> $</w:t>
      </w:r>
      <w:r w:rsidR="005A057A">
        <w:rPr>
          <w:szCs w:val="24"/>
        </w:rPr>
        <w:t>5,0</w:t>
      </w:r>
      <w:r w:rsidR="00996CEC">
        <w:rPr>
          <w:szCs w:val="24"/>
        </w:rPr>
        <w:t xml:space="preserve">00 per unit </w:t>
      </w:r>
      <w:r w:rsidRPr="00E11179">
        <w:rPr>
          <w:szCs w:val="24"/>
        </w:rPr>
        <w:t>(including all items identified in the CNA as not functioning at the time of the</w:t>
      </w:r>
      <w:r w:rsidR="00312332">
        <w:rPr>
          <w:szCs w:val="24"/>
        </w:rPr>
        <w:t xml:space="preserve"> CNA</w:t>
      </w:r>
      <w:r w:rsidRPr="00E11179">
        <w:rPr>
          <w:szCs w:val="24"/>
        </w:rPr>
        <w:t xml:space="preserve"> site visit) or </w:t>
      </w:r>
      <w:r w:rsidR="005C5FD8">
        <w:rPr>
          <w:szCs w:val="24"/>
        </w:rPr>
        <w:t>exceeds the balance in the replacement reserve account</w:t>
      </w:r>
      <w:r w:rsidR="0043258D">
        <w:rPr>
          <w:szCs w:val="24"/>
        </w:rPr>
        <w:t xml:space="preserve">. </w:t>
      </w:r>
      <w:r w:rsidRPr="00E11179">
        <w:rPr>
          <w:szCs w:val="24"/>
        </w:rPr>
        <w:t xml:space="preserve">Briefly discuss any differences between the </w:t>
      </w:r>
      <w:r w:rsidR="001C0F7F">
        <w:rPr>
          <w:szCs w:val="24"/>
        </w:rPr>
        <w:t xml:space="preserve">proposed Work and the </w:t>
      </w:r>
      <w:r w:rsidRPr="00E11179">
        <w:rPr>
          <w:szCs w:val="24"/>
        </w:rPr>
        <w:t>conclusions</w:t>
      </w:r>
      <w:r w:rsidR="005C5FD8">
        <w:rPr>
          <w:szCs w:val="24"/>
        </w:rPr>
        <w:t xml:space="preserve"> and </w:t>
      </w:r>
      <w:r w:rsidRPr="00E11179">
        <w:rPr>
          <w:szCs w:val="24"/>
        </w:rPr>
        <w:t>recommendations of the CNA provider</w:t>
      </w:r>
      <w:r w:rsidR="001C0F7F">
        <w:rPr>
          <w:szCs w:val="24"/>
        </w:rPr>
        <w:t>;</w:t>
      </w:r>
      <w:r w:rsidRPr="00E11179">
        <w:rPr>
          <w:szCs w:val="24"/>
        </w:rPr>
        <w:t xml:space="preserve"> </w:t>
      </w:r>
      <w:r w:rsidR="00C87A39">
        <w:rPr>
          <w:szCs w:val="24"/>
        </w:rPr>
        <w:t xml:space="preserve">any </w:t>
      </w:r>
      <w:r>
        <w:rPr>
          <w:szCs w:val="24"/>
        </w:rPr>
        <w:t xml:space="preserve">additional scope items not identified in the </w:t>
      </w:r>
      <w:r w:rsidR="001C0F7F">
        <w:rPr>
          <w:szCs w:val="24"/>
        </w:rPr>
        <w:t>CNA;</w:t>
      </w:r>
      <w:r w:rsidRPr="00E11179">
        <w:rPr>
          <w:szCs w:val="24"/>
        </w:rPr>
        <w:t xml:space="preserve"> and the </w:t>
      </w:r>
      <w:r w:rsidR="000078CE">
        <w:rPr>
          <w:szCs w:val="24"/>
        </w:rPr>
        <w:t>Project Owner</w:t>
      </w:r>
      <w:r w:rsidRPr="00E11179">
        <w:rPr>
          <w:szCs w:val="24"/>
        </w:rPr>
        <w:t>’s choices for replacement components</w:t>
      </w:r>
      <w:r w:rsidR="00DF6B86">
        <w:rPr>
          <w:szCs w:val="24"/>
        </w:rPr>
        <w:t>.</w:t>
      </w:r>
    </w:p>
    <w:p w14:paraId="7F57C580" w14:textId="77777777" w:rsidR="00A14DCD" w:rsidRPr="00E11179" w:rsidRDefault="00C87A39" w:rsidP="00794828">
      <w:pPr>
        <w:numPr>
          <w:ilvl w:val="0"/>
          <w:numId w:val="19"/>
        </w:numPr>
        <w:spacing w:after="12"/>
        <w:ind w:left="720"/>
        <w:rPr>
          <w:szCs w:val="24"/>
        </w:rPr>
      </w:pPr>
      <w:r>
        <w:rPr>
          <w:szCs w:val="24"/>
        </w:rPr>
        <w:t>Identify replacement</w:t>
      </w:r>
      <w:r w:rsidR="00A14DCD" w:rsidRPr="00E11179">
        <w:rPr>
          <w:szCs w:val="24"/>
        </w:rPr>
        <w:t xml:space="preserve"> quantities and costs. Rehabilitation </w:t>
      </w:r>
      <w:r>
        <w:rPr>
          <w:szCs w:val="24"/>
        </w:rPr>
        <w:t xml:space="preserve">cost </w:t>
      </w:r>
      <w:r w:rsidR="00A14DCD" w:rsidRPr="00E11179">
        <w:rPr>
          <w:szCs w:val="24"/>
        </w:rPr>
        <w:t xml:space="preserve">estimates must be based </w:t>
      </w:r>
      <w:r w:rsidR="001C0F7F">
        <w:rPr>
          <w:szCs w:val="24"/>
        </w:rPr>
        <w:t>o</w:t>
      </w:r>
      <w:r w:rsidR="00A14DCD" w:rsidRPr="00E11179">
        <w:rPr>
          <w:szCs w:val="24"/>
        </w:rPr>
        <w:t>n compliance with HUD requirements.</w:t>
      </w:r>
    </w:p>
    <w:p w14:paraId="7F57C581" w14:textId="179C26B3" w:rsidR="00A14DCD" w:rsidRPr="00996CEC" w:rsidRDefault="00A14DCD" w:rsidP="00794828">
      <w:pPr>
        <w:numPr>
          <w:ilvl w:val="0"/>
          <w:numId w:val="19"/>
        </w:numPr>
        <w:spacing w:after="12"/>
        <w:ind w:left="720"/>
        <w:rPr>
          <w:szCs w:val="24"/>
        </w:rPr>
      </w:pPr>
      <w:r w:rsidRPr="00996CEC">
        <w:rPr>
          <w:szCs w:val="24"/>
        </w:rPr>
        <w:t xml:space="preserve">Include a summary of environmental issues and </w:t>
      </w:r>
      <w:r w:rsidR="00DF6B86" w:rsidRPr="00996CEC">
        <w:rPr>
          <w:szCs w:val="24"/>
        </w:rPr>
        <w:t xml:space="preserve">corresponding </w:t>
      </w:r>
      <w:r w:rsidRPr="00996CEC">
        <w:rPr>
          <w:szCs w:val="24"/>
        </w:rPr>
        <w:t>remediation</w:t>
      </w:r>
      <w:r w:rsidR="00DF6B86" w:rsidRPr="00996CEC">
        <w:rPr>
          <w:szCs w:val="24"/>
        </w:rPr>
        <w:t xml:space="preserve"> activities</w:t>
      </w:r>
      <w:r w:rsidRPr="00996CEC">
        <w:rPr>
          <w:szCs w:val="24"/>
        </w:rPr>
        <w:t xml:space="preserve"> known at that time, </w:t>
      </w:r>
      <w:r w:rsidR="00996CEC" w:rsidRPr="00996CEC">
        <w:rPr>
          <w:szCs w:val="24"/>
        </w:rPr>
        <w:t>and a summary of accessibility features that are required pursuant to applicable accessibility standards and other accessibility requirements</w:t>
      </w:r>
      <w:r w:rsidR="0043258D">
        <w:rPr>
          <w:szCs w:val="24"/>
        </w:rPr>
        <w:t xml:space="preserve">. </w:t>
      </w:r>
      <w:r w:rsidR="00996CEC" w:rsidRPr="00996CEC">
        <w:rPr>
          <w:szCs w:val="24"/>
        </w:rPr>
        <w:t>Other accessibility requirements</w:t>
      </w:r>
      <w:r w:rsidR="00996CEC">
        <w:rPr>
          <w:szCs w:val="24"/>
        </w:rPr>
        <w:t xml:space="preserve"> i</w:t>
      </w:r>
      <w:r w:rsidR="00996CEC" w:rsidRPr="00996CEC">
        <w:rPr>
          <w:szCs w:val="24"/>
        </w:rPr>
        <w:t>nclude, but are not limited to, physical features</w:t>
      </w:r>
      <w:r w:rsidR="004D3594">
        <w:rPr>
          <w:szCs w:val="24"/>
        </w:rPr>
        <w:t xml:space="preserve"> that need to be</w:t>
      </w:r>
      <w:r w:rsidR="00996CEC" w:rsidRPr="00996CEC">
        <w:rPr>
          <w:szCs w:val="24"/>
        </w:rPr>
        <w:t xml:space="preserve"> provided as reasonable accommodations for qualified persons with disabilities.</w:t>
      </w:r>
      <w:r w:rsidR="00A576E6">
        <w:rPr>
          <w:szCs w:val="24"/>
        </w:rPr>
        <w:t xml:space="preserve"> The scope of work should also include design features necessary for elderly housing (see Section 4.4.N) and a description of how those features will promote housing stability for an aging population.</w:t>
      </w:r>
    </w:p>
    <w:p w14:paraId="7F57C582" w14:textId="6F482918" w:rsidR="00A14DCD" w:rsidRPr="00E11179" w:rsidRDefault="00A14DCD" w:rsidP="00794828">
      <w:pPr>
        <w:numPr>
          <w:ilvl w:val="0"/>
          <w:numId w:val="19"/>
        </w:numPr>
        <w:spacing w:after="12"/>
        <w:ind w:left="720"/>
        <w:rPr>
          <w:szCs w:val="24"/>
        </w:rPr>
      </w:pPr>
      <w:r w:rsidRPr="00E11179">
        <w:rPr>
          <w:szCs w:val="24"/>
        </w:rPr>
        <w:t>Include a construction contingency of 10 percent (HUD may require a higher contingency on a case-by-case basis)</w:t>
      </w:r>
      <w:r w:rsidR="00F86518">
        <w:rPr>
          <w:szCs w:val="24"/>
        </w:rPr>
        <w:t xml:space="preserve"> if the </w:t>
      </w:r>
      <w:r w:rsidR="000078CE">
        <w:rPr>
          <w:szCs w:val="24"/>
        </w:rPr>
        <w:t>Project Owner</w:t>
      </w:r>
      <w:r w:rsidR="00F86518">
        <w:rPr>
          <w:szCs w:val="24"/>
        </w:rPr>
        <w:t xml:space="preserve"> plans to obtain</w:t>
      </w:r>
      <w:r w:rsidR="00987FF8">
        <w:rPr>
          <w:szCs w:val="24"/>
        </w:rPr>
        <w:t xml:space="preserve"> new</w:t>
      </w:r>
      <w:r w:rsidR="00F86518">
        <w:rPr>
          <w:szCs w:val="24"/>
        </w:rPr>
        <w:t xml:space="preserve"> financing simultaneous with the Conversion</w:t>
      </w:r>
      <w:r w:rsidRPr="00E11179">
        <w:rPr>
          <w:szCs w:val="24"/>
        </w:rPr>
        <w:t>.</w:t>
      </w:r>
    </w:p>
    <w:p w14:paraId="7F57C583" w14:textId="77777777" w:rsidR="00A14DCD" w:rsidRPr="00E11179" w:rsidRDefault="00A14DCD" w:rsidP="00794828">
      <w:pPr>
        <w:numPr>
          <w:ilvl w:val="0"/>
          <w:numId w:val="19"/>
        </w:numPr>
        <w:spacing w:after="12"/>
        <w:ind w:left="720"/>
        <w:rPr>
          <w:szCs w:val="24"/>
        </w:rPr>
      </w:pPr>
      <w:r w:rsidRPr="00E11179">
        <w:rPr>
          <w:szCs w:val="24"/>
        </w:rPr>
        <w:t xml:space="preserve">Include a reasonable timeline for completion of all rehabilitation items acceptable to HUD, from the date of </w:t>
      </w:r>
      <w:r w:rsidR="00F86518">
        <w:rPr>
          <w:szCs w:val="24"/>
        </w:rPr>
        <w:t>C</w:t>
      </w:r>
      <w:r w:rsidRPr="00E11179">
        <w:rPr>
          <w:szCs w:val="24"/>
        </w:rPr>
        <w:t>onversion</w:t>
      </w:r>
      <w:r w:rsidR="00F86518">
        <w:rPr>
          <w:szCs w:val="24"/>
        </w:rPr>
        <w:t xml:space="preserve"> Closing</w:t>
      </w:r>
      <w:r w:rsidRPr="00E11179">
        <w:rPr>
          <w:szCs w:val="24"/>
        </w:rPr>
        <w:t xml:space="preserve"> and any financing, depending on the scope of rehabilitation </w:t>
      </w:r>
      <w:r w:rsidR="00F86518">
        <w:rPr>
          <w:szCs w:val="24"/>
        </w:rPr>
        <w:t>needed</w:t>
      </w:r>
      <w:r w:rsidRPr="00E11179">
        <w:rPr>
          <w:szCs w:val="24"/>
        </w:rPr>
        <w:t>.</w:t>
      </w:r>
    </w:p>
    <w:p w14:paraId="7F57C584" w14:textId="77777777" w:rsidR="00A14DCD" w:rsidRDefault="00A14DCD" w:rsidP="00A14DCD">
      <w:pPr>
        <w:spacing w:after="12"/>
        <w:ind w:left="540"/>
        <w:rPr>
          <w:szCs w:val="24"/>
        </w:rPr>
      </w:pPr>
    </w:p>
    <w:p w14:paraId="7F57C585" w14:textId="3ED10DF4" w:rsidR="00987FF8" w:rsidRDefault="00987FF8" w:rsidP="00781E60">
      <w:pPr>
        <w:spacing w:after="12"/>
        <w:ind w:left="360"/>
        <w:rPr>
          <w:szCs w:val="24"/>
        </w:rPr>
      </w:pPr>
      <w:r>
        <w:rPr>
          <w:szCs w:val="24"/>
        </w:rPr>
        <w:t xml:space="preserve">For </w:t>
      </w:r>
      <w:r w:rsidR="00C1197B">
        <w:rPr>
          <w:szCs w:val="24"/>
        </w:rPr>
        <w:t>Conversions using FHA financing, conventional debt,</w:t>
      </w:r>
      <w:r w:rsidR="00C1197B" w:rsidRPr="00987FF8">
        <w:rPr>
          <w:szCs w:val="24"/>
        </w:rPr>
        <w:t xml:space="preserve"> </w:t>
      </w:r>
      <w:r w:rsidR="00C1197B" w:rsidRPr="00751536">
        <w:rPr>
          <w:szCs w:val="24"/>
        </w:rPr>
        <w:t>or equity sources of financing</w:t>
      </w:r>
      <w:r w:rsidR="00312332">
        <w:rPr>
          <w:szCs w:val="24"/>
        </w:rPr>
        <w:t xml:space="preserve">, </w:t>
      </w:r>
      <w:r w:rsidR="00C1197B">
        <w:rPr>
          <w:szCs w:val="24"/>
        </w:rPr>
        <w:t>s</w:t>
      </w:r>
      <w:r w:rsidR="00C1197B" w:rsidRPr="00751536">
        <w:rPr>
          <w:szCs w:val="24"/>
        </w:rPr>
        <w:t xml:space="preserve">ubmit </w:t>
      </w:r>
      <w:r w:rsidR="00C1197B">
        <w:rPr>
          <w:szCs w:val="24"/>
        </w:rPr>
        <w:t>a copy of the S</w:t>
      </w:r>
      <w:r w:rsidR="00C1197B" w:rsidRPr="00751536">
        <w:rPr>
          <w:szCs w:val="24"/>
        </w:rPr>
        <w:t xml:space="preserve">cope of </w:t>
      </w:r>
      <w:r w:rsidR="00C1197B">
        <w:rPr>
          <w:szCs w:val="24"/>
        </w:rPr>
        <w:t>Wo</w:t>
      </w:r>
      <w:r w:rsidR="00C1197B" w:rsidRPr="00751536">
        <w:rPr>
          <w:szCs w:val="24"/>
        </w:rPr>
        <w:t xml:space="preserve">rk included with the FHA </w:t>
      </w:r>
      <w:r w:rsidR="00C1197B">
        <w:rPr>
          <w:szCs w:val="24"/>
        </w:rPr>
        <w:t>A</w:t>
      </w:r>
      <w:r w:rsidR="00C1197B" w:rsidRPr="00751536">
        <w:rPr>
          <w:szCs w:val="24"/>
        </w:rPr>
        <w:t>pplication</w:t>
      </w:r>
      <w:r w:rsidR="00C1197B">
        <w:rPr>
          <w:szCs w:val="24"/>
        </w:rPr>
        <w:t xml:space="preserve"> for Firm Commitment, </w:t>
      </w:r>
      <w:r w:rsidR="00B20DBC">
        <w:rPr>
          <w:szCs w:val="24"/>
        </w:rPr>
        <w:t>or submitted to the lender, equity provider (including LIHTC, historic tax credit or Opportunity Zone equity providers),</w:t>
      </w:r>
      <w:r w:rsidR="00B20DBC" w:rsidRPr="00751536">
        <w:rPr>
          <w:szCs w:val="24"/>
        </w:rPr>
        <w:t xml:space="preserve"> LIHTC</w:t>
      </w:r>
      <w:r w:rsidR="00B20DBC">
        <w:rPr>
          <w:szCs w:val="24"/>
        </w:rPr>
        <w:t xml:space="preserve"> allocating agency or comparable funding source</w:t>
      </w:r>
      <w:r w:rsidR="00B20DBC" w:rsidRPr="00A07323">
        <w:rPr>
          <w:szCs w:val="24"/>
        </w:rPr>
        <w:t>.</w:t>
      </w:r>
    </w:p>
    <w:p w14:paraId="7F57C586" w14:textId="77777777" w:rsidR="00987FF8" w:rsidRPr="00E11179" w:rsidRDefault="00987FF8" w:rsidP="00A14DCD">
      <w:pPr>
        <w:spacing w:after="12"/>
        <w:ind w:left="540"/>
        <w:rPr>
          <w:szCs w:val="24"/>
        </w:rPr>
      </w:pPr>
    </w:p>
    <w:p w14:paraId="7F57C587" w14:textId="67907973" w:rsidR="00A14DCD" w:rsidRPr="00E11179" w:rsidRDefault="00A14DCD" w:rsidP="00794828">
      <w:pPr>
        <w:numPr>
          <w:ilvl w:val="0"/>
          <w:numId w:val="18"/>
        </w:numPr>
        <w:autoSpaceDE w:val="0"/>
        <w:autoSpaceDN w:val="0"/>
        <w:spacing w:after="12"/>
        <w:ind w:left="360" w:hanging="360"/>
        <w:contextualSpacing/>
        <w:rPr>
          <w:szCs w:val="24"/>
        </w:rPr>
      </w:pPr>
      <w:r w:rsidRPr="00E11179">
        <w:rPr>
          <w:b/>
          <w:szCs w:val="24"/>
        </w:rPr>
        <w:t>Environmental Review</w:t>
      </w:r>
      <w:r w:rsidRPr="00E11179">
        <w:rPr>
          <w:szCs w:val="24"/>
        </w:rPr>
        <w:t xml:space="preserve">. HUD cannot approve an applicant’s </w:t>
      </w:r>
      <w:r w:rsidR="00F618B5">
        <w:rPr>
          <w:szCs w:val="24"/>
        </w:rPr>
        <w:t>Conversion Plan</w:t>
      </w:r>
      <w:r w:rsidRPr="00E11179">
        <w:rPr>
          <w:szCs w:val="24"/>
        </w:rPr>
        <w:t xml:space="preserve"> unless and until the required environmental review has been completed for the applicant’s proposed conversion </w:t>
      </w:r>
      <w:r w:rsidR="00887E42">
        <w:rPr>
          <w:szCs w:val="24"/>
        </w:rPr>
        <w:t>P</w:t>
      </w:r>
      <w:r w:rsidRPr="00E11179">
        <w:rPr>
          <w:szCs w:val="24"/>
        </w:rPr>
        <w:t>roject and found to meet environmental review requirements</w:t>
      </w:r>
      <w:r w:rsidR="00AD131C">
        <w:rPr>
          <w:szCs w:val="24"/>
        </w:rPr>
        <w:t xml:space="preserve">. </w:t>
      </w:r>
      <w:r w:rsidRPr="00E11179">
        <w:rPr>
          <w:szCs w:val="24"/>
        </w:rPr>
        <w:t>The following describes the submission and approval steps for securing a completed environmental review.</w:t>
      </w:r>
    </w:p>
    <w:p w14:paraId="7F57C588" w14:textId="53E5A202" w:rsidR="008520F1" w:rsidRPr="00447EB1" w:rsidRDefault="008520F1" w:rsidP="008520F1">
      <w:pPr>
        <w:autoSpaceDE w:val="0"/>
        <w:autoSpaceDN w:val="0"/>
        <w:spacing w:after="12"/>
        <w:ind w:left="360"/>
        <w:contextualSpacing/>
        <w:rPr>
          <w:szCs w:val="24"/>
        </w:rPr>
      </w:pPr>
      <w:r w:rsidRPr="00447EB1">
        <w:rPr>
          <w:szCs w:val="24"/>
        </w:rPr>
        <w:t xml:space="preserve">RAD transactions will either be reviewed under 24 CFR </w:t>
      </w:r>
      <w:r w:rsidR="00DF6B86">
        <w:rPr>
          <w:szCs w:val="24"/>
        </w:rPr>
        <w:t>p</w:t>
      </w:r>
      <w:r w:rsidRPr="00447EB1">
        <w:rPr>
          <w:szCs w:val="24"/>
        </w:rPr>
        <w:t xml:space="preserve">art 50 or 24 CFR </w:t>
      </w:r>
      <w:r w:rsidR="00DF6B86">
        <w:rPr>
          <w:szCs w:val="24"/>
        </w:rPr>
        <w:t>p</w:t>
      </w:r>
      <w:r w:rsidRPr="00447EB1">
        <w:rPr>
          <w:szCs w:val="24"/>
        </w:rPr>
        <w:t>art 58, i.e., “Part 50 Reviews” or “Part 58 Reviews.”</w:t>
      </w:r>
      <w:r w:rsidRPr="00447EB1">
        <w:rPr>
          <w:rStyle w:val="FootnoteReference"/>
          <w:szCs w:val="24"/>
        </w:rPr>
        <w:footnoteReference w:id="24"/>
      </w:r>
      <w:r w:rsidRPr="00447EB1">
        <w:rPr>
          <w:szCs w:val="24"/>
        </w:rPr>
        <w:t xml:space="preserve"> All PBRA and FHA (excluding Housing Finance Agency Risk-Sharing under Section 542) transactions require Part 50 Reviews, which are conducted by HUD staff. Non-FHA PBV and Section 542 Risk-Sharing transactions require Part 58 Reviews, which are conducted by a Responsible Entity (RE), except in accordance with 24 CFR § 58.11, when HUD may determine to conduct the review under Part 50.</w:t>
      </w:r>
    </w:p>
    <w:p w14:paraId="7F57C589" w14:textId="77777777" w:rsidR="008520F1" w:rsidRPr="00447EB1" w:rsidRDefault="008520F1" w:rsidP="008520F1">
      <w:pPr>
        <w:autoSpaceDE w:val="0"/>
        <w:autoSpaceDN w:val="0"/>
        <w:spacing w:after="12"/>
        <w:ind w:left="360"/>
        <w:contextualSpacing/>
        <w:rPr>
          <w:szCs w:val="24"/>
        </w:rPr>
      </w:pPr>
    </w:p>
    <w:tbl>
      <w:tblPr>
        <w:tblStyle w:val="TableGrid"/>
        <w:tblW w:w="9000" w:type="dxa"/>
        <w:tblInd w:w="468" w:type="dxa"/>
        <w:tblLook w:val="04A0" w:firstRow="1" w:lastRow="0" w:firstColumn="1" w:lastColumn="0" w:noHBand="0" w:noVBand="1"/>
      </w:tblPr>
      <w:tblGrid>
        <w:gridCol w:w="5287"/>
        <w:gridCol w:w="3713"/>
      </w:tblGrid>
      <w:tr w:rsidR="008520F1" w:rsidRPr="00447EB1" w14:paraId="7F57C58C" w14:textId="77777777" w:rsidTr="00E454CD">
        <w:tc>
          <w:tcPr>
            <w:tcW w:w="5287" w:type="dxa"/>
          </w:tcPr>
          <w:p w14:paraId="7F57C58A" w14:textId="77777777" w:rsidR="008520F1" w:rsidRPr="00447EB1" w:rsidRDefault="008520F1" w:rsidP="00E454CD">
            <w:pPr>
              <w:pStyle w:val="ColorfulList-Accent11"/>
              <w:spacing w:after="12" w:line="276" w:lineRule="auto"/>
              <w:ind w:left="0"/>
              <w:rPr>
                <w:b/>
                <w:szCs w:val="24"/>
              </w:rPr>
            </w:pPr>
            <w:r w:rsidRPr="00447EB1">
              <w:rPr>
                <w:b/>
                <w:szCs w:val="24"/>
              </w:rPr>
              <w:t>Transaction Type</w:t>
            </w:r>
          </w:p>
        </w:tc>
        <w:tc>
          <w:tcPr>
            <w:tcW w:w="3713" w:type="dxa"/>
          </w:tcPr>
          <w:p w14:paraId="7F57C58B" w14:textId="77777777" w:rsidR="008520F1" w:rsidRPr="00447EB1" w:rsidRDefault="008520F1" w:rsidP="00E454CD">
            <w:pPr>
              <w:pStyle w:val="ColorfulList-Accent11"/>
              <w:spacing w:after="12" w:line="276" w:lineRule="auto"/>
              <w:ind w:left="0"/>
              <w:rPr>
                <w:b/>
                <w:szCs w:val="24"/>
              </w:rPr>
            </w:pPr>
            <w:r w:rsidRPr="00447EB1">
              <w:rPr>
                <w:b/>
                <w:szCs w:val="24"/>
              </w:rPr>
              <w:t>Required Environmental Review</w:t>
            </w:r>
          </w:p>
        </w:tc>
      </w:tr>
      <w:tr w:rsidR="008520F1" w:rsidRPr="00447EB1" w14:paraId="7F57C58F" w14:textId="77777777" w:rsidTr="00E454CD">
        <w:tc>
          <w:tcPr>
            <w:tcW w:w="5287" w:type="dxa"/>
          </w:tcPr>
          <w:p w14:paraId="7F57C58D" w14:textId="77777777" w:rsidR="008520F1" w:rsidRPr="00447EB1" w:rsidRDefault="008520F1" w:rsidP="00E454CD">
            <w:pPr>
              <w:pStyle w:val="ColorfulList-Accent11"/>
              <w:spacing w:after="12" w:line="276" w:lineRule="auto"/>
              <w:ind w:left="0"/>
              <w:rPr>
                <w:szCs w:val="24"/>
              </w:rPr>
            </w:pPr>
            <w:r w:rsidRPr="00447EB1">
              <w:rPr>
                <w:szCs w:val="24"/>
              </w:rPr>
              <w:t>Non-FHA with PBRA</w:t>
            </w:r>
          </w:p>
        </w:tc>
        <w:tc>
          <w:tcPr>
            <w:tcW w:w="3713" w:type="dxa"/>
          </w:tcPr>
          <w:p w14:paraId="7F57C58E" w14:textId="77777777" w:rsidR="008520F1" w:rsidRPr="00447EB1" w:rsidRDefault="008520F1" w:rsidP="00E454CD">
            <w:pPr>
              <w:pStyle w:val="ColorfulList-Accent11"/>
              <w:spacing w:after="12" w:line="276" w:lineRule="auto"/>
              <w:ind w:left="0"/>
              <w:rPr>
                <w:szCs w:val="24"/>
              </w:rPr>
            </w:pPr>
            <w:r w:rsidRPr="00447EB1">
              <w:rPr>
                <w:szCs w:val="24"/>
              </w:rPr>
              <w:t>Part 50</w:t>
            </w:r>
          </w:p>
        </w:tc>
      </w:tr>
      <w:tr w:rsidR="008520F1" w:rsidRPr="00447EB1" w14:paraId="7F57C592" w14:textId="77777777" w:rsidTr="00E454CD">
        <w:tc>
          <w:tcPr>
            <w:tcW w:w="5287" w:type="dxa"/>
          </w:tcPr>
          <w:p w14:paraId="7F57C590" w14:textId="77777777" w:rsidR="008520F1" w:rsidRPr="00447EB1" w:rsidRDefault="008520F1" w:rsidP="00E454CD">
            <w:pPr>
              <w:pStyle w:val="ColorfulList-Accent11"/>
              <w:spacing w:after="12" w:line="276" w:lineRule="auto"/>
              <w:ind w:left="0"/>
              <w:rPr>
                <w:szCs w:val="24"/>
              </w:rPr>
            </w:pPr>
            <w:r w:rsidRPr="00447EB1">
              <w:rPr>
                <w:szCs w:val="24"/>
              </w:rPr>
              <w:t>FHA insured (excluding Section 542 Risk-Sharing)</w:t>
            </w:r>
          </w:p>
        </w:tc>
        <w:tc>
          <w:tcPr>
            <w:tcW w:w="3713" w:type="dxa"/>
          </w:tcPr>
          <w:p w14:paraId="7F57C591" w14:textId="77777777" w:rsidR="008520F1" w:rsidRPr="00447EB1" w:rsidRDefault="008520F1" w:rsidP="00E454CD">
            <w:pPr>
              <w:pStyle w:val="ColorfulList-Accent11"/>
              <w:spacing w:after="12" w:line="276" w:lineRule="auto"/>
              <w:ind w:left="0"/>
              <w:rPr>
                <w:szCs w:val="24"/>
              </w:rPr>
            </w:pPr>
            <w:r w:rsidRPr="00447EB1">
              <w:rPr>
                <w:szCs w:val="24"/>
              </w:rPr>
              <w:t>Part 50</w:t>
            </w:r>
          </w:p>
        </w:tc>
      </w:tr>
      <w:tr w:rsidR="008520F1" w:rsidRPr="00447EB1" w14:paraId="7F57C595" w14:textId="77777777" w:rsidTr="00E454CD">
        <w:trPr>
          <w:trHeight w:val="98"/>
        </w:trPr>
        <w:tc>
          <w:tcPr>
            <w:tcW w:w="5287" w:type="dxa"/>
          </w:tcPr>
          <w:p w14:paraId="7F57C593" w14:textId="302C688C" w:rsidR="008520F1" w:rsidRPr="00447EB1" w:rsidRDefault="008520F1" w:rsidP="00B32F04">
            <w:pPr>
              <w:pStyle w:val="ColorfulList-Accent11"/>
              <w:spacing w:after="12" w:line="276" w:lineRule="auto"/>
              <w:ind w:left="0"/>
              <w:rPr>
                <w:szCs w:val="24"/>
              </w:rPr>
            </w:pPr>
            <w:r w:rsidRPr="00447EB1">
              <w:rPr>
                <w:szCs w:val="24"/>
              </w:rPr>
              <w:t>Non-FHA with PBV</w:t>
            </w:r>
          </w:p>
        </w:tc>
        <w:tc>
          <w:tcPr>
            <w:tcW w:w="3713" w:type="dxa"/>
          </w:tcPr>
          <w:p w14:paraId="7F57C594" w14:textId="77777777" w:rsidR="008520F1" w:rsidRPr="00447EB1" w:rsidRDefault="008520F1" w:rsidP="00E454CD">
            <w:pPr>
              <w:pStyle w:val="ColorfulList-Accent11"/>
              <w:spacing w:after="12" w:line="276" w:lineRule="auto"/>
              <w:ind w:left="0"/>
              <w:rPr>
                <w:szCs w:val="24"/>
              </w:rPr>
            </w:pPr>
            <w:r w:rsidRPr="00447EB1">
              <w:rPr>
                <w:szCs w:val="24"/>
              </w:rPr>
              <w:t>Part 58</w:t>
            </w:r>
          </w:p>
        </w:tc>
      </w:tr>
    </w:tbl>
    <w:p w14:paraId="7F57C599" w14:textId="3BE71D9D" w:rsidR="008520F1" w:rsidRDefault="00B32F04" w:rsidP="008520F1">
      <w:pPr>
        <w:autoSpaceDE w:val="0"/>
        <w:autoSpaceDN w:val="0"/>
        <w:spacing w:after="12"/>
        <w:ind w:left="720"/>
        <w:contextualSpacing/>
        <w:rPr>
          <w:sz w:val="20"/>
          <w:szCs w:val="24"/>
        </w:rPr>
      </w:pPr>
      <w:r w:rsidRPr="00B32F04">
        <w:rPr>
          <w:sz w:val="20"/>
          <w:szCs w:val="24"/>
        </w:rPr>
        <w:t>*For purposes of this table, Section 542 Risk-Sharing is considered a “non-FHA” transaction type</w:t>
      </w:r>
    </w:p>
    <w:p w14:paraId="35A95322" w14:textId="77777777" w:rsidR="00B32F04" w:rsidRPr="00B32F04" w:rsidRDefault="00B32F04" w:rsidP="008520F1">
      <w:pPr>
        <w:autoSpaceDE w:val="0"/>
        <w:autoSpaceDN w:val="0"/>
        <w:spacing w:after="12"/>
        <w:ind w:left="720"/>
        <w:contextualSpacing/>
        <w:rPr>
          <w:sz w:val="20"/>
          <w:szCs w:val="24"/>
        </w:rPr>
      </w:pPr>
    </w:p>
    <w:p w14:paraId="7F57C59A" w14:textId="49007223" w:rsidR="008520F1" w:rsidRPr="00447EB1" w:rsidRDefault="008520F1" w:rsidP="008520F1">
      <w:pPr>
        <w:autoSpaceDE w:val="0"/>
        <w:autoSpaceDN w:val="0"/>
        <w:spacing w:after="12"/>
        <w:ind w:left="360"/>
        <w:contextualSpacing/>
        <w:rPr>
          <w:szCs w:val="24"/>
        </w:rPr>
      </w:pPr>
      <w:r w:rsidRPr="00447EB1">
        <w:rPr>
          <w:szCs w:val="24"/>
        </w:rPr>
        <w:t xml:space="preserve">For multi-phase developments, the environmental documents submitted with the </w:t>
      </w:r>
      <w:r w:rsidR="00A03F1F">
        <w:rPr>
          <w:szCs w:val="24"/>
        </w:rPr>
        <w:t>Conversion</w:t>
      </w:r>
      <w:r w:rsidRPr="00447EB1">
        <w:rPr>
          <w:szCs w:val="24"/>
        </w:rPr>
        <w:t xml:space="preserve"> Plan during the first phase must be submitted for the entire site, i.e. all of the phases of the multi-phase development, and the environmental review conducted during the first phase will cover the entire site. Further, requests to transfer assistance from the Converting Project to a new location are subject to environmental review.</w:t>
      </w:r>
    </w:p>
    <w:p w14:paraId="7F57C59B" w14:textId="77777777" w:rsidR="008520F1" w:rsidRPr="00447EB1" w:rsidRDefault="008520F1" w:rsidP="008520F1">
      <w:pPr>
        <w:autoSpaceDE w:val="0"/>
        <w:autoSpaceDN w:val="0"/>
        <w:spacing w:after="12"/>
        <w:ind w:left="360"/>
        <w:contextualSpacing/>
        <w:rPr>
          <w:szCs w:val="24"/>
        </w:rPr>
      </w:pPr>
    </w:p>
    <w:p w14:paraId="7F57C59C" w14:textId="5892658B" w:rsidR="008520F1" w:rsidRPr="00447EB1" w:rsidRDefault="008520F1" w:rsidP="008520F1">
      <w:pPr>
        <w:autoSpaceDE w:val="0"/>
        <w:autoSpaceDN w:val="0"/>
        <w:spacing w:after="12"/>
        <w:ind w:left="360"/>
        <w:contextualSpacing/>
        <w:rPr>
          <w:szCs w:val="24"/>
        </w:rPr>
      </w:pPr>
      <w:r w:rsidRPr="00447EB1">
        <w:rPr>
          <w:szCs w:val="24"/>
        </w:rPr>
        <w:t>For transactions receiving funding from other HUD programs (i.e.</w:t>
      </w:r>
      <w:r w:rsidR="00756F1C">
        <w:rPr>
          <w:szCs w:val="24"/>
        </w:rPr>
        <w:t>,</w:t>
      </w:r>
      <w:r w:rsidRPr="00447EB1">
        <w:rPr>
          <w:szCs w:val="24"/>
        </w:rPr>
        <w:t xml:space="preserve"> HOME, CDBG, non-RAD PBV), HUD encourages all parties to attempt to complete one review for all programs, even if these programs’ environmental reviews are conducted under a different review protocol (Part 50, Part 58).</w:t>
      </w:r>
    </w:p>
    <w:p w14:paraId="7F57C59D" w14:textId="77777777" w:rsidR="008520F1" w:rsidRPr="00447EB1" w:rsidRDefault="008520F1" w:rsidP="008520F1">
      <w:pPr>
        <w:autoSpaceDE w:val="0"/>
        <w:autoSpaceDN w:val="0"/>
        <w:spacing w:after="12"/>
        <w:ind w:left="360"/>
        <w:contextualSpacing/>
        <w:rPr>
          <w:szCs w:val="24"/>
        </w:rPr>
      </w:pPr>
    </w:p>
    <w:p w14:paraId="7F57C59E" w14:textId="515E823C" w:rsidR="008520F1" w:rsidRPr="00447EB1" w:rsidRDefault="008520F1" w:rsidP="008520F1">
      <w:pPr>
        <w:autoSpaceDE w:val="0"/>
        <w:autoSpaceDN w:val="0"/>
        <w:spacing w:after="12"/>
        <w:ind w:left="360"/>
        <w:contextualSpacing/>
        <w:rPr>
          <w:szCs w:val="24"/>
        </w:rPr>
      </w:pPr>
      <w:r w:rsidRPr="00447EB1">
        <w:rPr>
          <w:szCs w:val="24"/>
        </w:rPr>
        <w:t xml:space="preserve">In cases where two Part 58 programs are combined, HUD encourages applicants to work with the </w:t>
      </w:r>
      <w:r w:rsidR="00756F1C">
        <w:rPr>
          <w:szCs w:val="24"/>
        </w:rPr>
        <w:t>RE</w:t>
      </w:r>
      <w:r w:rsidRPr="00447EB1">
        <w:rPr>
          <w:szCs w:val="24"/>
        </w:rPr>
        <w:t xml:space="preserve"> to see if environmental reviews can be combined. However, this is </w:t>
      </w:r>
      <w:r>
        <w:rPr>
          <w:szCs w:val="24"/>
        </w:rPr>
        <w:t xml:space="preserve">solely </w:t>
      </w:r>
      <w:r w:rsidRPr="00447EB1">
        <w:rPr>
          <w:szCs w:val="24"/>
        </w:rPr>
        <w:t xml:space="preserve">the </w:t>
      </w:r>
      <w:r w:rsidR="0065719B">
        <w:rPr>
          <w:szCs w:val="24"/>
        </w:rPr>
        <w:t>RE</w:t>
      </w:r>
      <w:r w:rsidRPr="00447EB1">
        <w:rPr>
          <w:szCs w:val="24"/>
        </w:rPr>
        <w:t>’s determination.</w:t>
      </w:r>
    </w:p>
    <w:p w14:paraId="7F57C59F" w14:textId="77777777" w:rsidR="008520F1" w:rsidRPr="00447EB1" w:rsidRDefault="008520F1" w:rsidP="008520F1">
      <w:pPr>
        <w:autoSpaceDE w:val="0"/>
        <w:autoSpaceDN w:val="0"/>
        <w:spacing w:after="12"/>
        <w:ind w:left="360"/>
        <w:contextualSpacing/>
        <w:rPr>
          <w:szCs w:val="24"/>
        </w:rPr>
      </w:pPr>
    </w:p>
    <w:p w14:paraId="7F57C5A0" w14:textId="481FEAF9" w:rsidR="008520F1" w:rsidRPr="00447EB1" w:rsidRDefault="008520F1" w:rsidP="008520F1">
      <w:pPr>
        <w:autoSpaceDE w:val="0"/>
        <w:autoSpaceDN w:val="0"/>
        <w:spacing w:after="12"/>
        <w:ind w:left="360"/>
        <w:contextualSpacing/>
        <w:rPr>
          <w:szCs w:val="24"/>
        </w:rPr>
      </w:pPr>
      <w:r w:rsidRPr="00447EB1">
        <w:rPr>
          <w:szCs w:val="24"/>
        </w:rPr>
        <w:t xml:space="preserve">In cases where a Part 50 program and a Part 58 program are combined, HUD may determine that it will perform one Part 50 environmental review for both programs if performing an additional Part 58 environmental review is not feasible in the time allotted, under 24 CFR </w:t>
      </w:r>
      <w:r w:rsidR="00CC17B3">
        <w:rPr>
          <w:szCs w:val="24"/>
        </w:rPr>
        <w:t xml:space="preserve">§ </w:t>
      </w:r>
      <w:r w:rsidRPr="00447EB1">
        <w:rPr>
          <w:szCs w:val="24"/>
        </w:rPr>
        <w:t xml:space="preserve">58.11. HUD must ensure that the Part 50 review considers the full scope of all activities </w:t>
      </w:r>
      <w:r>
        <w:rPr>
          <w:szCs w:val="24"/>
        </w:rPr>
        <w:t xml:space="preserve">and funding </w:t>
      </w:r>
      <w:r w:rsidRPr="00447EB1">
        <w:rPr>
          <w:szCs w:val="24"/>
        </w:rPr>
        <w:t>associated with all programs. When one review is used for both programs, the Approving Officials for both programs must certify the review.</w:t>
      </w:r>
    </w:p>
    <w:p w14:paraId="7F57C5A1" w14:textId="77777777" w:rsidR="008520F1" w:rsidRPr="00447EB1" w:rsidRDefault="008520F1" w:rsidP="008520F1">
      <w:pPr>
        <w:autoSpaceDE w:val="0"/>
        <w:autoSpaceDN w:val="0"/>
        <w:spacing w:after="12"/>
        <w:ind w:left="720"/>
        <w:contextualSpacing/>
        <w:rPr>
          <w:szCs w:val="24"/>
        </w:rPr>
      </w:pPr>
    </w:p>
    <w:p w14:paraId="7F57C5A2" w14:textId="323ECE5B" w:rsidR="008520F1" w:rsidRPr="00447EB1" w:rsidRDefault="008520F1" w:rsidP="008520F1">
      <w:pPr>
        <w:spacing w:after="12"/>
        <w:ind w:left="360"/>
        <w:rPr>
          <w:szCs w:val="24"/>
        </w:rPr>
      </w:pPr>
      <w:r w:rsidRPr="00447EB1">
        <w:rPr>
          <w:b/>
          <w:szCs w:val="24"/>
        </w:rPr>
        <w:t xml:space="preserve">For all Part 50 reviews, the applicant must submit reports and documentation to HUD in accordance with 24 CFR </w:t>
      </w:r>
      <w:r w:rsidR="00F212AA">
        <w:rPr>
          <w:b/>
          <w:szCs w:val="24"/>
        </w:rPr>
        <w:t>p</w:t>
      </w:r>
      <w:r w:rsidRPr="00447EB1">
        <w:rPr>
          <w:b/>
          <w:szCs w:val="24"/>
        </w:rPr>
        <w:t>art 50, as discussed in Chapter 9 of the MAP guide, except as follows:</w:t>
      </w:r>
      <w:r w:rsidRPr="00447EB1">
        <w:rPr>
          <w:rStyle w:val="FootnoteReference"/>
          <w:szCs w:val="24"/>
        </w:rPr>
        <w:footnoteReference w:id="25"/>
      </w:r>
      <w:r w:rsidRPr="00447EB1">
        <w:rPr>
          <w:szCs w:val="24"/>
          <w:vertAlign w:val="superscript"/>
        </w:rPr>
        <w:t>,</w:t>
      </w:r>
      <w:r w:rsidRPr="00447EB1">
        <w:rPr>
          <w:rStyle w:val="FootnoteReference"/>
          <w:szCs w:val="24"/>
        </w:rPr>
        <w:t xml:space="preserve"> </w:t>
      </w:r>
      <w:r w:rsidRPr="00447EB1">
        <w:rPr>
          <w:rStyle w:val="FootnoteReference"/>
          <w:szCs w:val="24"/>
        </w:rPr>
        <w:footnoteReference w:id="26"/>
      </w:r>
      <w:r w:rsidRPr="00447EB1">
        <w:rPr>
          <w:szCs w:val="24"/>
        </w:rPr>
        <w:t xml:space="preserve"> </w:t>
      </w:r>
    </w:p>
    <w:p w14:paraId="7F57C5A3" w14:textId="07295959" w:rsidR="008520F1" w:rsidRPr="00447EB1" w:rsidRDefault="008520F1" w:rsidP="00794828">
      <w:pPr>
        <w:pStyle w:val="ListParagraph"/>
        <w:numPr>
          <w:ilvl w:val="1"/>
          <w:numId w:val="23"/>
        </w:numPr>
        <w:spacing w:after="12"/>
        <w:ind w:left="1080"/>
        <w:rPr>
          <w:iCs/>
          <w:sz w:val="24"/>
          <w:szCs w:val="24"/>
          <w:shd w:val="clear" w:color="auto" w:fill="FFFFFF"/>
        </w:rPr>
      </w:pPr>
      <w:r w:rsidRPr="00447EB1">
        <w:rPr>
          <w:iCs/>
          <w:sz w:val="24"/>
          <w:szCs w:val="24"/>
          <w:shd w:val="clear" w:color="auto" w:fill="FFFFFF"/>
        </w:rPr>
        <w:t>For PBRA conversions (or</w:t>
      </w:r>
      <w:r w:rsidR="00CC17B3">
        <w:rPr>
          <w:iCs/>
          <w:sz w:val="24"/>
          <w:szCs w:val="24"/>
          <w:shd w:val="clear" w:color="auto" w:fill="FFFFFF"/>
        </w:rPr>
        <w:t xml:space="preserve"> for PBV conversions</w:t>
      </w:r>
      <w:r w:rsidRPr="00447EB1">
        <w:rPr>
          <w:iCs/>
          <w:sz w:val="24"/>
          <w:szCs w:val="24"/>
          <w:shd w:val="clear" w:color="auto" w:fill="FFFFFF"/>
        </w:rPr>
        <w:t xml:space="preserve"> where HUD has determined to conduct the environmental review under Part 50) without FHA insurance and </w:t>
      </w:r>
      <w:r w:rsidRPr="00A1213E">
        <w:rPr>
          <w:iCs/>
          <w:sz w:val="24"/>
          <w:szCs w:val="24"/>
          <w:u w:val="single"/>
          <w:shd w:val="clear" w:color="auto" w:fill="FFFFFF"/>
        </w:rPr>
        <w:t>without any rehabilitation, construction, or demolition</w:t>
      </w:r>
      <w:r w:rsidRPr="00447EB1">
        <w:rPr>
          <w:iCs/>
          <w:sz w:val="24"/>
          <w:szCs w:val="24"/>
          <w:shd w:val="clear" w:color="auto" w:fill="FFFFFF"/>
        </w:rPr>
        <w:t>,</w:t>
      </w:r>
      <w:r w:rsidRPr="001051D7">
        <w:rPr>
          <w:iCs/>
          <w:vertAlign w:val="superscript"/>
        </w:rPr>
        <w:footnoteReference w:id="27"/>
      </w:r>
      <w:r w:rsidRPr="00447EB1">
        <w:rPr>
          <w:iCs/>
          <w:sz w:val="24"/>
          <w:szCs w:val="24"/>
          <w:shd w:val="clear" w:color="auto" w:fill="FFFFFF"/>
        </w:rPr>
        <w:t xml:space="preserve"> HUD conduct</w:t>
      </w:r>
      <w:r>
        <w:rPr>
          <w:iCs/>
          <w:sz w:val="24"/>
          <w:szCs w:val="24"/>
          <w:shd w:val="clear" w:color="auto" w:fill="FFFFFF"/>
        </w:rPr>
        <w:t>ed</w:t>
      </w:r>
      <w:r w:rsidRPr="00447EB1">
        <w:rPr>
          <w:iCs/>
          <w:sz w:val="24"/>
          <w:szCs w:val="24"/>
          <w:shd w:val="clear" w:color="auto" w:fill="FFFFFF"/>
        </w:rPr>
        <w:t xml:space="preserve"> a tiered review of program-wide and site-specific compliance</w:t>
      </w:r>
      <w:r w:rsidR="0043258D">
        <w:rPr>
          <w:iCs/>
          <w:sz w:val="24"/>
          <w:szCs w:val="24"/>
          <w:shd w:val="clear" w:color="auto" w:fill="FFFFFF"/>
        </w:rPr>
        <w:t xml:space="preserve">. </w:t>
      </w:r>
      <w:r w:rsidRPr="00447EB1">
        <w:rPr>
          <w:iCs/>
          <w:sz w:val="24"/>
          <w:szCs w:val="24"/>
          <w:shd w:val="clear" w:color="auto" w:fill="FFFFFF"/>
        </w:rPr>
        <w:t>HUD has made program-wide compliance determinations for most of the applicable environmental laws and authorities, and will complete a site-specific compliance review of the following:</w:t>
      </w:r>
    </w:p>
    <w:p w14:paraId="7F57C5A4" w14:textId="77777777" w:rsidR="008520F1" w:rsidRPr="00447EB1" w:rsidRDefault="008520F1" w:rsidP="00794828">
      <w:pPr>
        <w:pStyle w:val="ListParagraph"/>
        <w:numPr>
          <w:ilvl w:val="1"/>
          <w:numId w:val="24"/>
        </w:numPr>
        <w:spacing w:before="120" w:after="120"/>
        <w:ind w:left="1800"/>
        <w:contextualSpacing w:val="0"/>
        <w:rPr>
          <w:sz w:val="24"/>
          <w:szCs w:val="24"/>
        </w:rPr>
      </w:pPr>
      <w:r w:rsidRPr="00447EB1">
        <w:rPr>
          <w:sz w:val="24"/>
          <w:szCs w:val="24"/>
        </w:rPr>
        <w:t>Coastal protection pursuant to the Coastal Barrier Resources Act, as amended by the Coastal Barrier Improvement Act of 1990 (16 U.S.C. 3501);</w:t>
      </w:r>
    </w:p>
    <w:p w14:paraId="7F57C5A5" w14:textId="71578DF4" w:rsidR="008520F1" w:rsidRPr="00447EB1" w:rsidRDefault="008520F1" w:rsidP="00794828">
      <w:pPr>
        <w:pStyle w:val="ListParagraph"/>
        <w:numPr>
          <w:ilvl w:val="1"/>
          <w:numId w:val="24"/>
        </w:numPr>
        <w:spacing w:before="120" w:after="120"/>
        <w:ind w:left="1800"/>
        <w:contextualSpacing w:val="0"/>
        <w:rPr>
          <w:sz w:val="24"/>
          <w:szCs w:val="24"/>
        </w:rPr>
      </w:pPr>
      <w:r w:rsidRPr="00447EB1">
        <w:rPr>
          <w:sz w:val="24"/>
          <w:szCs w:val="24"/>
        </w:rPr>
        <w:t xml:space="preserve">Flood insurance and floodplain management pursuant to the Flood Disaster Protection Act of 1973, the National Flood Insurance Reform Act of 1994 (42 U.S.C. 4001-4128 and 42 U.S.C. 5154a), Executive Order 11988, particularly section 2(a), and 24 CFR </w:t>
      </w:r>
      <w:r w:rsidR="00F212AA">
        <w:rPr>
          <w:sz w:val="24"/>
          <w:szCs w:val="24"/>
        </w:rPr>
        <w:t>p</w:t>
      </w:r>
      <w:r w:rsidRPr="00447EB1">
        <w:rPr>
          <w:sz w:val="24"/>
          <w:szCs w:val="24"/>
        </w:rPr>
        <w:t>art 55;</w:t>
      </w:r>
    </w:p>
    <w:p w14:paraId="7F57C5A6" w14:textId="221386E3" w:rsidR="008520F1" w:rsidRPr="00447EB1" w:rsidRDefault="008520F1" w:rsidP="00794828">
      <w:pPr>
        <w:pStyle w:val="ListParagraph"/>
        <w:numPr>
          <w:ilvl w:val="1"/>
          <w:numId w:val="24"/>
        </w:numPr>
        <w:spacing w:before="120" w:after="120"/>
        <w:ind w:left="1800"/>
        <w:contextualSpacing w:val="0"/>
        <w:rPr>
          <w:sz w:val="24"/>
          <w:szCs w:val="24"/>
        </w:rPr>
      </w:pPr>
      <w:r w:rsidRPr="00447EB1">
        <w:rPr>
          <w:sz w:val="24"/>
          <w:szCs w:val="24"/>
        </w:rPr>
        <w:t xml:space="preserve">Contamination pursuant to 24 CFR </w:t>
      </w:r>
      <w:r w:rsidR="00F212AA">
        <w:rPr>
          <w:sz w:val="24"/>
          <w:szCs w:val="24"/>
        </w:rPr>
        <w:t xml:space="preserve">§ </w:t>
      </w:r>
      <w:r w:rsidRPr="00447EB1">
        <w:rPr>
          <w:sz w:val="24"/>
          <w:szCs w:val="24"/>
        </w:rPr>
        <w:t>50.3(i) (HUD Standard).</w:t>
      </w:r>
    </w:p>
    <w:p w14:paraId="7F57C5A7" w14:textId="2045000F" w:rsidR="008520F1" w:rsidRPr="00447EB1" w:rsidRDefault="000078CE" w:rsidP="008520F1">
      <w:pPr>
        <w:pStyle w:val="ListParagraph"/>
        <w:spacing w:after="12"/>
        <w:ind w:left="1080"/>
        <w:rPr>
          <w:sz w:val="24"/>
          <w:szCs w:val="24"/>
        </w:rPr>
      </w:pPr>
      <w:r>
        <w:rPr>
          <w:iCs/>
          <w:sz w:val="24"/>
          <w:szCs w:val="24"/>
          <w:shd w:val="clear" w:color="auto" w:fill="FFFFFF"/>
        </w:rPr>
        <w:t>Project Owner</w:t>
      </w:r>
      <w:r w:rsidR="008520F1" w:rsidRPr="00447EB1">
        <w:rPr>
          <w:iCs/>
          <w:sz w:val="24"/>
          <w:szCs w:val="24"/>
          <w:shd w:val="clear" w:color="auto" w:fill="FFFFFF"/>
        </w:rPr>
        <w:t xml:space="preserve">s will be required to submit documentation to facilitate HUD’s </w:t>
      </w:r>
      <w:r w:rsidR="008520F1" w:rsidRPr="00447EB1">
        <w:rPr>
          <w:iCs/>
          <w:color w:val="212121"/>
          <w:sz w:val="24"/>
          <w:szCs w:val="24"/>
          <w:shd w:val="clear" w:color="auto" w:fill="FFFFFF"/>
        </w:rPr>
        <w:t>site-specific review.</w:t>
      </w:r>
    </w:p>
    <w:p w14:paraId="7F57C5A8" w14:textId="11812A1C" w:rsidR="008520F1" w:rsidRPr="00447EB1" w:rsidRDefault="008520F1" w:rsidP="008520F1">
      <w:pPr>
        <w:spacing w:before="120" w:after="120"/>
        <w:ind w:left="1440"/>
        <w:rPr>
          <w:szCs w:val="24"/>
        </w:rPr>
      </w:pPr>
      <w:r w:rsidRPr="00447EB1">
        <w:rPr>
          <w:iCs/>
          <w:color w:val="212121"/>
          <w:szCs w:val="24"/>
          <w:shd w:val="clear" w:color="auto" w:fill="FFFFFF"/>
        </w:rPr>
        <w:t xml:space="preserve">For Environmental Reviews under 24 CFR </w:t>
      </w:r>
      <w:r w:rsidR="00F212AA">
        <w:rPr>
          <w:iCs/>
          <w:color w:val="212121"/>
          <w:szCs w:val="24"/>
          <w:shd w:val="clear" w:color="auto" w:fill="FFFFFF"/>
        </w:rPr>
        <w:t>p</w:t>
      </w:r>
      <w:r w:rsidRPr="00447EB1">
        <w:rPr>
          <w:iCs/>
          <w:color w:val="212121"/>
          <w:szCs w:val="24"/>
          <w:shd w:val="clear" w:color="auto" w:fill="FFFFFF"/>
        </w:rPr>
        <w:t xml:space="preserve">art 58, </w:t>
      </w:r>
      <w:r w:rsidR="000078CE">
        <w:rPr>
          <w:iCs/>
          <w:color w:val="212121"/>
          <w:szCs w:val="24"/>
          <w:shd w:val="clear" w:color="auto" w:fill="FFFFFF"/>
        </w:rPr>
        <w:t>Project Owner</w:t>
      </w:r>
      <w:r w:rsidRPr="00447EB1">
        <w:rPr>
          <w:iCs/>
          <w:color w:val="212121"/>
          <w:szCs w:val="24"/>
          <w:shd w:val="clear" w:color="auto" w:fill="FFFFFF"/>
        </w:rPr>
        <w:t xml:space="preserve">s should reach out to the </w:t>
      </w:r>
      <w:r w:rsidR="0065719B">
        <w:rPr>
          <w:iCs/>
          <w:color w:val="212121"/>
          <w:szCs w:val="24"/>
          <w:shd w:val="clear" w:color="auto" w:fill="FFFFFF"/>
        </w:rPr>
        <w:t>RE</w:t>
      </w:r>
      <w:r w:rsidRPr="00447EB1">
        <w:rPr>
          <w:iCs/>
          <w:color w:val="212121"/>
          <w:szCs w:val="24"/>
          <w:shd w:val="clear" w:color="auto" w:fill="FFFFFF"/>
        </w:rPr>
        <w:t xml:space="preserve">. HUD encourages </w:t>
      </w:r>
      <w:r w:rsidR="0065719B">
        <w:rPr>
          <w:iCs/>
          <w:color w:val="212121"/>
          <w:szCs w:val="24"/>
          <w:shd w:val="clear" w:color="auto" w:fill="FFFFFF"/>
        </w:rPr>
        <w:t>REs</w:t>
      </w:r>
      <w:r w:rsidRPr="00447EB1">
        <w:rPr>
          <w:iCs/>
          <w:color w:val="212121"/>
          <w:szCs w:val="24"/>
          <w:shd w:val="clear" w:color="auto" w:fill="FFFFFF"/>
        </w:rPr>
        <w:t xml:space="preserve"> to consider a tiered approach.</w:t>
      </w:r>
    </w:p>
    <w:p w14:paraId="7F57C5A9" w14:textId="412FB6A3" w:rsidR="008520F1" w:rsidRPr="00447EB1" w:rsidRDefault="008520F1" w:rsidP="00794828">
      <w:pPr>
        <w:pStyle w:val="ListParagraph"/>
        <w:numPr>
          <w:ilvl w:val="1"/>
          <w:numId w:val="23"/>
        </w:numPr>
        <w:spacing w:after="12"/>
        <w:ind w:left="1080"/>
        <w:rPr>
          <w:sz w:val="24"/>
          <w:szCs w:val="24"/>
        </w:rPr>
      </w:pPr>
      <w:r w:rsidRPr="00447EB1">
        <w:rPr>
          <w:sz w:val="24"/>
          <w:szCs w:val="24"/>
        </w:rPr>
        <w:t xml:space="preserve">For all PBRA conversions (or </w:t>
      </w:r>
      <w:r w:rsidR="00CC17B3">
        <w:rPr>
          <w:sz w:val="24"/>
          <w:szCs w:val="24"/>
        </w:rPr>
        <w:t xml:space="preserve">for PBV conversions </w:t>
      </w:r>
      <w:r w:rsidRPr="00447EB1">
        <w:rPr>
          <w:sz w:val="24"/>
          <w:szCs w:val="24"/>
        </w:rPr>
        <w:t>where HUD has determined to conduct the environmental review under Part 50)</w:t>
      </w:r>
      <w:r>
        <w:rPr>
          <w:sz w:val="24"/>
          <w:szCs w:val="24"/>
        </w:rPr>
        <w:t xml:space="preserve"> </w:t>
      </w:r>
      <w:r w:rsidR="00CC17B3">
        <w:rPr>
          <w:sz w:val="24"/>
          <w:szCs w:val="24"/>
        </w:rPr>
        <w:t>with FHA insurance and/or any rehabilitation, construction, or demolition</w:t>
      </w:r>
      <w:r w:rsidRPr="00447EB1">
        <w:rPr>
          <w:sz w:val="24"/>
          <w:szCs w:val="24"/>
        </w:rPr>
        <w:t xml:space="preserve">, </w:t>
      </w:r>
      <w:r w:rsidR="000078CE">
        <w:rPr>
          <w:sz w:val="24"/>
          <w:szCs w:val="24"/>
        </w:rPr>
        <w:t>Project Owner</w:t>
      </w:r>
      <w:r w:rsidRPr="00447EB1">
        <w:rPr>
          <w:sz w:val="24"/>
          <w:szCs w:val="24"/>
        </w:rPr>
        <w:t>s shall provide HUD with one of the following:</w:t>
      </w:r>
      <w:r w:rsidRPr="00447EB1">
        <w:rPr>
          <w:rStyle w:val="FootnoteReference"/>
          <w:sz w:val="24"/>
          <w:szCs w:val="24"/>
        </w:rPr>
        <w:footnoteReference w:id="28"/>
      </w:r>
      <w:r w:rsidRPr="00447EB1">
        <w:rPr>
          <w:rStyle w:val="FootnoteReference"/>
          <w:sz w:val="24"/>
          <w:szCs w:val="24"/>
        </w:rPr>
        <w:t>,</w:t>
      </w:r>
      <w:r w:rsidRPr="00447EB1">
        <w:rPr>
          <w:rStyle w:val="FootnoteReference"/>
          <w:sz w:val="24"/>
          <w:szCs w:val="24"/>
        </w:rPr>
        <w:footnoteReference w:id="29"/>
      </w:r>
      <w:r w:rsidRPr="00447EB1">
        <w:rPr>
          <w:sz w:val="24"/>
          <w:szCs w:val="24"/>
        </w:rPr>
        <w:t xml:space="preserve"> </w:t>
      </w:r>
    </w:p>
    <w:p w14:paraId="7F57C5AA" w14:textId="325C373C" w:rsidR="008520F1" w:rsidRPr="00447EB1" w:rsidRDefault="008520F1" w:rsidP="00794828">
      <w:pPr>
        <w:pStyle w:val="ListParagraph"/>
        <w:numPr>
          <w:ilvl w:val="2"/>
          <w:numId w:val="4"/>
        </w:numPr>
        <w:tabs>
          <w:tab w:val="left" w:pos="2340"/>
        </w:tabs>
        <w:spacing w:after="12"/>
        <w:ind w:left="1800"/>
        <w:rPr>
          <w:sz w:val="24"/>
          <w:szCs w:val="24"/>
        </w:rPr>
      </w:pPr>
      <w:r w:rsidRPr="00447EB1">
        <w:rPr>
          <w:sz w:val="24"/>
          <w:szCs w:val="24"/>
        </w:rPr>
        <w:t>A transaction screen in accordance with ASTM E 1528-14 (or the most recent edition)</w:t>
      </w:r>
      <w:r w:rsidRPr="00447EB1">
        <w:rPr>
          <w:rStyle w:val="FootnoteReference"/>
          <w:sz w:val="24"/>
          <w:szCs w:val="24"/>
        </w:rPr>
        <w:footnoteReference w:id="30"/>
      </w:r>
      <w:r w:rsidRPr="00447EB1">
        <w:rPr>
          <w:sz w:val="24"/>
          <w:szCs w:val="24"/>
        </w:rPr>
        <w:t xml:space="preserve"> for those conversions that do not include substantial rehabilitation or new construction activities. A transaction screen will identify potential environmental concerns based on questionnaires, </w:t>
      </w:r>
      <w:r w:rsidR="000078CE">
        <w:rPr>
          <w:sz w:val="24"/>
          <w:szCs w:val="24"/>
        </w:rPr>
        <w:t>o</w:t>
      </w:r>
      <w:r w:rsidR="00CA79EC">
        <w:rPr>
          <w:sz w:val="24"/>
          <w:szCs w:val="24"/>
        </w:rPr>
        <w:t>wner</w:t>
      </w:r>
      <w:r w:rsidRPr="00447EB1">
        <w:rPr>
          <w:sz w:val="24"/>
          <w:szCs w:val="24"/>
        </w:rPr>
        <w:t xml:space="preserve">/occupant inquiry, site visit, government records inquiry and historical sources inquiry. The transaction screen must be prepared by a qualified professional, in accordance with 24 CFR § 50.3(i)(4). As the definition of preparer in ASTM E 1528-14 does not meet this requirement, the professional must have either (a) a science degree and at least one year of practical environmental assessment experience in the field, or (b) three years of practical environmental assessment experience in the field performing site assessments for site contamination. If any potential environmental concerns are identified or the Transaction Screen is older than 5 years upon submission, an ASTM Phase I Environmental Site Assessment (ESA) in accordance with ASTM E 1527-13 (or the most recent edition) must be provided; </w:t>
      </w:r>
      <w:r w:rsidRPr="00447EB1">
        <w:rPr>
          <w:sz w:val="24"/>
          <w:szCs w:val="24"/>
          <w:u w:val="single"/>
        </w:rPr>
        <w:t>OR</w:t>
      </w:r>
    </w:p>
    <w:p w14:paraId="7F57C5AB" w14:textId="319B4CC1" w:rsidR="008520F1" w:rsidRPr="00782FA7" w:rsidRDefault="008520F1" w:rsidP="00794828">
      <w:pPr>
        <w:pStyle w:val="ListParagraph"/>
        <w:numPr>
          <w:ilvl w:val="2"/>
          <w:numId w:val="4"/>
        </w:numPr>
        <w:tabs>
          <w:tab w:val="left" w:pos="2340"/>
        </w:tabs>
        <w:spacing w:after="12"/>
        <w:ind w:left="1800"/>
        <w:rPr>
          <w:sz w:val="24"/>
          <w:szCs w:val="24"/>
        </w:rPr>
      </w:pPr>
      <w:r w:rsidRPr="00447EB1">
        <w:rPr>
          <w:sz w:val="24"/>
          <w:szCs w:val="24"/>
        </w:rPr>
        <w:t>A Phase I ESA in accordance with ASTM E 1527-13 (or the most recent edition) that is no older than 1 year upon submission</w:t>
      </w:r>
      <w:r w:rsidRPr="00782FA7">
        <w:rPr>
          <w:sz w:val="24"/>
          <w:szCs w:val="24"/>
        </w:rPr>
        <w:t>.</w:t>
      </w:r>
      <w:r w:rsidR="001B2D33" w:rsidRPr="00782FA7">
        <w:rPr>
          <w:sz w:val="24"/>
          <w:szCs w:val="24"/>
        </w:rPr>
        <w:t xml:space="preserve"> (Note that a Phase I ESA is required for all conversions applying for FHA insurance and all conversions that require an Environmental Assessment level review. For these types of conversions, a transaction screen is not an available alternative.)</w:t>
      </w:r>
    </w:p>
    <w:p w14:paraId="7F57C5AC" w14:textId="2ADFB0E4" w:rsidR="008520F1" w:rsidRPr="00A03F1F" w:rsidRDefault="00A03F1F" w:rsidP="00A03F1F">
      <w:pPr>
        <w:tabs>
          <w:tab w:val="left" w:pos="2340"/>
        </w:tabs>
        <w:spacing w:after="12"/>
        <w:ind w:left="1080"/>
        <w:rPr>
          <w:szCs w:val="24"/>
        </w:rPr>
      </w:pPr>
      <w:r>
        <w:rPr>
          <w:szCs w:val="24"/>
        </w:rPr>
        <w:t>The Project Owner shall also provide a</w:t>
      </w:r>
      <w:r w:rsidR="008520F1" w:rsidRPr="00A03F1F">
        <w:rPr>
          <w:szCs w:val="24"/>
        </w:rPr>
        <w:t>ny additional environmental reports and/or environmental testing</w:t>
      </w:r>
      <w:r>
        <w:rPr>
          <w:szCs w:val="24"/>
        </w:rPr>
        <w:t xml:space="preserve"> </w:t>
      </w:r>
      <w:r w:rsidR="00B75B00">
        <w:rPr>
          <w:szCs w:val="24"/>
        </w:rPr>
        <w:t xml:space="preserve">required </w:t>
      </w:r>
      <w:r>
        <w:rPr>
          <w:szCs w:val="24"/>
        </w:rPr>
        <w:t>as a result of the foregoing</w:t>
      </w:r>
      <w:r w:rsidR="00B75B00">
        <w:rPr>
          <w:szCs w:val="24"/>
        </w:rPr>
        <w:t xml:space="preserve"> reviews</w:t>
      </w:r>
      <w:r w:rsidR="008520F1" w:rsidRPr="00A03F1F">
        <w:rPr>
          <w:szCs w:val="24"/>
        </w:rPr>
        <w:t>, such as, but not limited to, Phase II</w:t>
      </w:r>
      <w:r w:rsidR="00B75B00">
        <w:rPr>
          <w:szCs w:val="24"/>
        </w:rPr>
        <w:t xml:space="preserve"> environmental report</w:t>
      </w:r>
      <w:r w:rsidR="008520F1" w:rsidRPr="00A03F1F">
        <w:rPr>
          <w:szCs w:val="24"/>
        </w:rPr>
        <w:t xml:space="preserve">s, Lead Based Paint Surveys, Asbestos Containing Materials Surveys, </w:t>
      </w:r>
      <w:r w:rsidR="00B75B00">
        <w:rPr>
          <w:szCs w:val="24"/>
        </w:rPr>
        <w:t xml:space="preserve">and </w:t>
      </w:r>
      <w:r w:rsidR="008520F1" w:rsidRPr="00A03F1F">
        <w:rPr>
          <w:szCs w:val="24"/>
        </w:rPr>
        <w:t>Operating and Maintenance Plans</w:t>
      </w:r>
      <w:r w:rsidR="00B75B00">
        <w:rPr>
          <w:szCs w:val="24"/>
        </w:rPr>
        <w:t>.</w:t>
      </w:r>
      <w:r w:rsidR="008520F1" w:rsidRPr="00A03F1F">
        <w:rPr>
          <w:szCs w:val="24"/>
        </w:rPr>
        <w:t xml:space="preserve"> </w:t>
      </w:r>
    </w:p>
    <w:p w14:paraId="7F57C5AD" w14:textId="605F0322" w:rsidR="008520F1" w:rsidRPr="00447EB1" w:rsidRDefault="008520F1" w:rsidP="00794828">
      <w:pPr>
        <w:pStyle w:val="ListParagraph"/>
        <w:numPr>
          <w:ilvl w:val="1"/>
          <w:numId w:val="23"/>
        </w:numPr>
        <w:spacing w:after="12"/>
        <w:ind w:left="1080"/>
        <w:rPr>
          <w:sz w:val="24"/>
          <w:szCs w:val="24"/>
        </w:rPr>
      </w:pPr>
      <w:r w:rsidRPr="00447EB1">
        <w:rPr>
          <w:sz w:val="24"/>
          <w:szCs w:val="24"/>
        </w:rPr>
        <w:t>For all PBRA conversions (or where HUD has determined to conduct the PBV conversion review under Part 50), PHAs are not required to follow the radon testing requirements of HN 2013-03</w:t>
      </w:r>
      <w:r w:rsidR="0043258D">
        <w:rPr>
          <w:sz w:val="24"/>
          <w:szCs w:val="24"/>
        </w:rPr>
        <w:t xml:space="preserve">. </w:t>
      </w:r>
      <w:r w:rsidRPr="00447EB1">
        <w:rPr>
          <w:sz w:val="24"/>
          <w:szCs w:val="24"/>
        </w:rPr>
        <w:t>However, HUD strongly recommends radon testing for all projects and mitigation of any structures with elevated levels of radon (4 pCi/L or above).</w:t>
      </w:r>
    </w:p>
    <w:p w14:paraId="7F57C5AE" w14:textId="77777777" w:rsidR="008520F1" w:rsidRPr="00447EB1" w:rsidRDefault="008520F1" w:rsidP="008520F1">
      <w:pPr>
        <w:spacing w:after="12"/>
        <w:ind w:left="360"/>
        <w:rPr>
          <w:szCs w:val="24"/>
        </w:rPr>
      </w:pPr>
    </w:p>
    <w:p w14:paraId="7F57C5AF" w14:textId="77777777" w:rsidR="008520F1" w:rsidRPr="00447EB1" w:rsidRDefault="008520F1" w:rsidP="008520F1">
      <w:pPr>
        <w:spacing w:after="12"/>
        <w:ind w:left="360"/>
        <w:rPr>
          <w:szCs w:val="24"/>
        </w:rPr>
      </w:pPr>
      <w:r w:rsidRPr="00447EB1">
        <w:rPr>
          <w:szCs w:val="24"/>
        </w:rPr>
        <w:t xml:space="preserve">When HUD conducts the environmental review under Part 50, PHAs (or </w:t>
      </w:r>
      <w:r>
        <w:rPr>
          <w:szCs w:val="24"/>
        </w:rPr>
        <w:t xml:space="preserve">their </w:t>
      </w:r>
      <w:r w:rsidRPr="00447EB1">
        <w:rPr>
          <w:szCs w:val="24"/>
        </w:rPr>
        <w:t>vendors) must submit environmental reports and documentation</w:t>
      </w:r>
      <w:r w:rsidRPr="00447EB1">
        <w:rPr>
          <w:rStyle w:val="FootnoteReference"/>
          <w:szCs w:val="24"/>
        </w:rPr>
        <w:footnoteReference w:id="31"/>
      </w:r>
      <w:r w:rsidRPr="00447EB1">
        <w:rPr>
          <w:szCs w:val="24"/>
        </w:rPr>
        <w:t xml:space="preserve"> for HUD review into the HUD Environmental Review Online System (HEROS), where HUD will complete its review.</w:t>
      </w:r>
    </w:p>
    <w:p w14:paraId="7F57C5B0" w14:textId="77777777" w:rsidR="008520F1" w:rsidRPr="00447EB1" w:rsidRDefault="008520F1" w:rsidP="008520F1">
      <w:pPr>
        <w:spacing w:after="12"/>
        <w:ind w:left="360"/>
        <w:rPr>
          <w:szCs w:val="24"/>
        </w:rPr>
      </w:pPr>
    </w:p>
    <w:p w14:paraId="7F57C5B1" w14:textId="637D3DF3" w:rsidR="008520F1" w:rsidRPr="00447EB1" w:rsidRDefault="008520F1" w:rsidP="008520F1">
      <w:pPr>
        <w:pStyle w:val="ColorfulList-Accent11"/>
        <w:spacing w:after="12" w:line="276" w:lineRule="auto"/>
        <w:ind w:left="360"/>
        <w:rPr>
          <w:szCs w:val="24"/>
        </w:rPr>
      </w:pPr>
      <w:r w:rsidRPr="00447EB1">
        <w:rPr>
          <w:szCs w:val="24"/>
        </w:rPr>
        <w:t xml:space="preserve">HUD staff will review the submissions and may require additional information in order to complete their review. HUD’s review will result in a determination, which may stipulate the rejection of the site for this demonstration or may require the completion of mitigation measures. The </w:t>
      </w:r>
      <w:r w:rsidR="00996CEC">
        <w:rPr>
          <w:szCs w:val="24"/>
        </w:rPr>
        <w:t>approval letter</w:t>
      </w:r>
      <w:r w:rsidRPr="00447EB1">
        <w:rPr>
          <w:szCs w:val="24"/>
        </w:rPr>
        <w:t xml:space="preserve"> will include any conditions required to carry out any and all mitigation measures as may result from the environmental review. Any conditions or mitigation that cannot be satisfied before Closing will survive Closing. </w:t>
      </w:r>
    </w:p>
    <w:p w14:paraId="7F57C5B2" w14:textId="77777777" w:rsidR="008520F1" w:rsidRPr="00447EB1" w:rsidRDefault="008520F1" w:rsidP="008520F1">
      <w:pPr>
        <w:spacing w:after="12"/>
        <w:ind w:left="360"/>
        <w:rPr>
          <w:b/>
          <w:bCs/>
          <w:szCs w:val="24"/>
        </w:rPr>
      </w:pPr>
    </w:p>
    <w:p w14:paraId="7F57C5B3" w14:textId="3C48A885" w:rsidR="008520F1" w:rsidRPr="00447EB1" w:rsidRDefault="008520F1" w:rsidP="008520F1">
      <w:pPr>
        <w:spacing w:after="12"/>
        <w:ind w:left="360"/>
        <w:rPr>
          <w:szCs w:val="24"/>
        </w:rPr>
      </w:pPr>
      <w:r w:rsidRPr="00447EB1">
        <w:rPr>
          <w:b/>
          <w:szCs w:val="24"/>
        </w:rPr>
        <w:t xml:space="preserve">When a Responsible Entity (RE) completes an environmental review under Part 58, the </w:t>
      </w:r>
      <w:r w:rsidR="00CC17B3">
        <w:rPr>
          <w:b/>
          <w:szCs w:val="24"/>
        </w:rPr>
        <w:t>Conversion</w:t>
      </w:r>
      <w:r w:rsidR="00CC17B3" w:rsidRPr="00447EB1">
        <w:rPr>
          <w:b/>
          <w:szCs w:val="24"/>
        </w:rPr>
        <w:t xml:space="preserve"> </w:t>
      </w:r>
      <w:r w:rsidRPr="00447EB1">
        <w:rPr>
          <w:b/>
          <w:szCs w:val="24"/>
        </w:rPr>
        <w:t xml:space="preserve">Plan must include either Form </w:t>
      </w:r>
      <w:r w:rsidR="00053895">
        <w:rPr>
          <w:b/>
          <w:szCs w:val="24"/>
        </w:rPr>
        <w:t>HUD-</w:t>
      </w:r>
      <w:r w:rsidRPr="00447EB1">
        <w:rPr>
          <w:b/>
          <w:szCs w:val="24"/>
        </w:rPr>
        <w:t>7015.16 or a letter with the (RE’s) finding of exempt activity in order to consider the environmental review to be complete.</w:t>
      </w:r>
      <w:r w:rsidRPr="00447EB1">
        <w:rPr>
          <w:szCs w:val="24"/>
        </w:rPr>
        <w:t xml:space="preserve"> The RE should use HUD recommended formats to document the environmental review record.</w:t>
      </w:r>
      <w:r w:rsidRPr="00447EB1">
        <w:rPr>
          <w:rStyle w:val="FootnoteReference"/>
          <w:szCs w:val="24"/>
        </w:rPr>
        <w:footnoteReference w:id="32"/>
      </w:r>
      <w:r w:rsidRPr="00447EB1">
        <w:rPr>
          <w:szCs w:val="24"/>
        </w:rPr>
        <w:t xml:space="preserve"> The PHA should submit an environmental report to the RE, in such form as prescribed by the RE, to enable the RE to complete their analysis. Once the review is completed, the PHA must submit </w:t>
      </w:r>
      <w:r w:rsidRPr="00447EB1">
        <w:rPr>
          <w:i/>
          <w:iCs/>
          <w:szCs w:val="24"/>
        </w:rPr>
        <w:t>either</w:t>
      </w:r>
      <w:r w:rsidRPr="00447EB1">
        <w:rPr>
          <w:iCs/>
          <w:szCs w:val="24"/>
        </w:rPr>
        <w:t>:</w:t>
      </w:r>
    </w:p>
    <w:p w14:paraId="7F57C5B4" w14:textId="60CB1452" w:rsidR="008520F1" w:rsidRPr="00447EB1" w:rsidRDefault="008520F1" w:rsidP="00794828">
      <w:pPr>
        <w:pStyle w:val="ListParagraph"/>
        <w:numPr>
          <w:ilvl w:val="0"/>
          <w:numId w:val="5"/>
        </w:numPr>
        <w:spacing w:after="12"/>
        <w:rPr>
          <w:sz w:val="24"/>
          <w:szCs w:val="24"/>
        </w:rPr>
      </w:pPr>
      <w:r w:rsidRPr="00447EB1">
        <w:rPr>
          <w:sz w:val="24"/>
          <w:szCs w:val="24"/>
        </w:rPr>
        <w:t>Form HUD-7015.15, Request for Release of Funds (RROF), to their local PIH field staff.</w:t>
      </w:r>
      <w:r w:rsidRPr="00447EB1">
        <w:rPr>
          <w:rStyle w:val="FootnoteReference"/>
          <w:sz w:val="24"/>
          <w:szCs w:val="24"/>
        </w:rPr>
        <w:footnoteReference w:id="33"/>
      </w:r>
      <w:r w:rsidRPr="00447EB1">
        <w:rPr>
          <w:sz w:val="24"/>
          <w:szCs w:val="24"/>
        </w:rPr>
        <w:t xml:space="preserve"> After the PIH Field Director approves the RROF, the Director sends a completed </w:t>
      </w:r>
      <w:r w:rsidR="00053895" w:rsidRPr="00447EB1">
        <w:rPr>
          <w:sz w:val="24"/>
          <w:szCs w:val="24"/>
        </w:rPr>
        <w:t xml:space="preserve">Form </w:t>
      </w:r>
      <w:r w:rsidRPr="00447EB1">
        <w:rPr>
          <w:sz w:val="24"/>
          <w:szCs w:val="24"/>
        </w:rPr>
        <w:t xml:space="preserve">HUD 7015.16 to the PHA, approving the release of funds; or </w:t>
      </w:r>
    </w:p>
    <w:p w14:paraId="7F57C5B5" w14:textId="099AE70D" w:rsidR="008520F1" w:rsidRPr="00447EB1" w:rsidRDefault="008520F1" w:rsidP="00794828">
      <w:pPr>
        <w:pStyle w:val="ListParagraph"/>
        <w:numPr>
          <w:ilvl w:val="0"/>
          <w:numId w:val="5"/>
        </w:numPr>
        <w:spacing w:after="12"/>
        <w:rPr>
          <w:sz w:val="24"/>
          <w:szCs w:val="24"/>
        </w:rPr>
      </w:pPr>
      <w:r w:rsidRPr="00447EB1">
        <w:rPr>
          <w:sz w:val="24"/>
          <w:szCs w:val="24"/>
        </w:rPr>
        <w:t xml:space="preserve">If </w:t>
      </w:r>
      <w:r w:rsidR="00AE4AF6">
        <w:rPr>
          <w:sz w:val="24"/>
          <w:szCs w:val="24"/>
        </w:rPr>
        <w:t>F</w:t>
      </w:r>
      <w:r w:rsidRPr="00447EB1">
        <w:rPr>
          <w:sz w:val="24"/>
          <w:szCs w:val="24"/>
        </w:rPr>
        <w:t>orm HUD-7015.15 is not required because the project converts to Exempt under 24 CFR § 58.34</w:t>
      </w:r>
      <w:r w:rsidR="008D1C94">
        <w:rPr>
          <w:sz w:val="24"/>
          <w:szCs w:val="24"/>
        </w:rPr>
        <w:t>(a)(12)</w:t>
      </w:r>
      <w:r w:rsidRPr="00447EB1">
        <w:rPr>
          <w:sz w:val="24"/>
          <w:szCs w:val="24"/>
        </w:rPr>
        <w:t xml:space="preserve">, the PHA must submit the RE’s finding of exempt activity with their </w:t>
      </w:r>
      <w:r w:rsidR="00CC17B3">
        <w:rPr>
          <w:sz w:val="24"/>
          <w:szCs w:val="24"/>
        </w:rPr>
        <w:t>Conversion</w:t>
      </w:r>
      <w:r w:rsidRPr="00447EB1">
        <w:rPr>
          <w:sz w:val="24"/>
          <w:szCs w:val="24"/>
        </w:rPr>
        <w:t xml:space="preserve"> Plan. A finding of exempt activity is a statement of the result of the RE’s environmental review and is required even when </w:t>
      </w:r>
      <w:r w:rsidR="00AE4AF6">
        <w:rPr>
          <w:sz w:val="24"/>
          <w:szCs w:val="24"/>
        </w:rPr>
        <w:t>F</w:t>
      </w:r>
      <w:r w:rsidRPr="00447EB1">
        <w:rPr>
          <w:sz w:val="24"/>
          <w:szCs w:val="24"/>
        </w:rPr>
        <w:t>orm HUD-7015.15 is not required. A letter from the RE indicating that the project converts to Exempt under 24 CFR § 58.34</w:t>
      </w:r>
      <w:r w:rsidR="008D1C94">
        <w:rPr>
          <w:sz w:val="24"/>
          <w:szCs w:val="24"/>
        </w:rPr>
        <w:t>(a)(12)</w:t>
      </w:r>
      <w:r w:rsidRPr="00447EB1">
        <w:rPr>
          <w:sz w:val="24"/>
          <w:szCs w:val="24"/>
        </w:rPr>
        <w:t xml:space="preserve"> is sufficient</w:t>
      </w:r>
      <w:r w:rsidR="0043258D">
        <w:rPr>
          <w:sz w:val="24"/>
          <w:szCs w:val="24"/>
        </w:rPr>
        <w:t xml:space="preserve">. </w:t>
      </w:r>
    </w:p>
    <w:p w14:paraId="7F57C5B6" w14:textId="77777777" w:rsidR="008520F1" w:rsidRPr="00447EB1" w:rsidRDefault="008520F1" w:rsidP="008520F1">
      <w:pPr>
        <w:pStyle w:val="ColorfulList-Accent11"/>
        <w:spacing w:after="12" w:line="276" w:lineRule="auto"/>
        <w:ind w:left="360"/>
        <w:rPr>
          <w:iCs/>
          <w:szCs w:val="24"/>
        </w:rPr>
      </w:pPr>
    </w:p>
    <w:p w14:paraId="7F57C5B7" w14:textId="598C6C64" w:rsidR="008520F1" w:rsidRPr="00447EB1" w:rsidRDefault="008520F1" w:rsidP="008520F1">
      <w:pPr>
        <w:pStyle w:val="ColorfulList-Accent11"/>
        <w:spacing w:after="12" w:line="276" w:lineRule="auto"/>
        <w:ind w:left="360"/>
        <w:rPr>
          <w:szCs w:val="24"/>
        </w:rPr>
      </w:pPr>
      <w:r w:rsidRPr="00447EB1">
        <w:rPr>
          <w:iCs/>
          <w:szCs w:val="24"/>
        </w:rPr>
        <w:t>For conversions subject to Part 58 without any rehabilitation</w:t>
      </w:r>
      <w:r w:rsidRPr="00447EB1">
        <w:rPr>
          <w:szCs w:val="24"/>
        </w:rPr>
        <w:t>, construction, or demolitio</w:t>
      </w:r>
      <w:r w:rsidR="00B75B00">
        <w:rPr>
          <w:szCs w:val="24"/>
        </w:rPr>
        <w:t>n,</w:t>
      </w:r>
      <w:r w:rsidRPr="00447EB1">
        <w:rPr>
          <w:rStyle w:val="FootnoteReference"/>
          <w:szCs w:val="24"/>
        </w:rPr>
        <w:footnoteReference w:id="34"/>
      </w:r>
      <w:r w:rsidRPr="00447EB1">
        <w:rPr>
          <w:szCs w:val="24"/>
        </w:rPr>
        <w:t xml:space="preserve"> </w:t>
      </w:r>
      <w:r w:rsidRPr="00447EB1">
        <w:rPr>
          <w:iCs/>
          <w:szCs w:val="24"/>
        </w:rPr>
        <w:t>HUD encourages R</w:t>
      </w:r>
      <w:r w:rsidR="0065719B">
        <w:rPr>
          <w:iCs/>
          <w:szCs w:val="24"/>
        </w:rPr>
        <w:t>E</w:t>
      </w:r>
      <w:r w:rsidRPr="00447EB1">
        <w:rPr>
          <w:iCs/>
          <w:szCs w:val="24"/>
        </w:rPr>
        <w:t xml:space="preserve">s to consider a tiered approach wherein they </w:t>
      </w:r>
      <w:r w:rsidRPr="00447EB1">
        <w:rPr>
          <w:szCs w:val="24"/>
        </w:rPr>
        <w:t xml:space="preserve">make program-wide compliance determinations for most of the applicable environmental laws and authorities and complete a site-specific compliance review </w:t>
      </w:r>
      <w:r w:rsidR="00CC17B3">
        <w:rPr>
          <w:szCs w:val="24"/>
        </w:rPr>
        <w:t xml:space="preserve">only </w:t>
      </w:r>
      <w:r w:rsidRPr="00447EB1">
        <w:rPr>
          <w:szCs w:val="24"/>
        </w:rPr>
        <w:t>of the remaining laws and authorities</w:t>
      </w:r>
      <w:r w:rsidRPr="00447EB1">
        <w:rPr>
          <w:iCs/>
          <w:szCs w:val="24"/>
        </w:rPr>
        <w:t>.</w:t>
      </w:r>
    </w:p>
    <w:p w14:paraId="7F57C5B9" w14:textId="77777777" w:rsidR="00A14DCD" w:rsidRPr="00E11179" w:rsidRDefault="00A14DCD" w:rsidP="00A14DCD">
      <w:pPr>
        <w:spacing w:after="12"/>
        <w:ind w:left="360"/>
        <w:rPr>
          <w:szCs w:val="24"/>
        </w:rPr>
      </w:pPr>
    </w:p>
    <w:p w14:paraId="7F57C5BA" w14:textId="7DF18C3C" w:rsidR="00A14DCD" w:rsidRPr="00E11179" w:rsidRDefault="00A14DCD" w:rsidP="00794828">
      <w:pPr>
        <w:numPr>
          <w:ilvl w:val="0"/>
          <w:numId w:val="18"/>
        </w:numPr>
        <w:spacing w:after="12"/>
        <w:ind w:left="360" w:hanging="360"/>
        <w:rPr>
          <w:bCs/>
          <w:szCs w:val="24"/>
        </w:rPr>
      </w:pPr>
      <w:r w:rsidRPr="00E11179">
        <w:rPr>
          <w:b/>
          <w:szCs w:val="24"/>
        </w:rPr>
        <w:t>Accessibility and Relocation Plan Checklist.</w:t>
      </w:r>
      <w:r w:rsidRPr="00E11179">
        <w:rPr>
          <w:b/>
          <w:szCs w:val="24"/>
          <w:vertAlign w:val="superscript"/>
        </w:rPr>
        <w:t xml:space="preserve"> </w:t>
      </w:r>
      <w:r w:rsidRPr="00E11179">
        <w:rPr>
          <w:szCs w:val="24"/>
        </w:rPr>
        <w:t xml:space="preserve">All </w:t>
      </w:r>
      <w:r w:rsidR="000078CE">
        <w:rPr>
          <w:szCs w:val="24"/>
        </w:rPr>
        <w:t>Project Owner</w:t>
      </w:r>
      <w:r w:rsidRPr="00E11179">
        <w:rPr>
          <w:szCs w:val="24"/>
        </w:rPr>
        <w:t xml:space="preserve">s shall complete and submit the </w:t>
      </w:r>
      <w:r w:rsidRPr="00E11179">
        <w:rPr>
          <w:bCs/>
          <w:szCs w:val="24"/>
        </w:rPr>
        <w:t>Accessibility and Relocation Plan Checklist provided by HUD</w:t>
      </w:r>
      <w:r>
        <w:rPr>
          <w:bCs/>
          <w:szCs w:val="24"/>
        </w:rPr>
        <w:t xml:space="preserve"> </w:t>
      </w:r>
      <w:r w:rsidRPr="00CC7001">
        <w:rPr>
          <w:bCs/>
          <w:szCs w:val="24"/>
        </w:rPr>
        <w:t xml:space="preserve">on the RAD Resource </w:t>
      </w:r>
      <w:r w:rsidR="00654D21">
        <w:rPr>
          <w:bCs/>
          <w:szCs w:val="24"/>
        </w:rPr>
        <w:t>D</w:t>
      </w:r>
      <w:r w:rsidRPr="00CC7001">
        <w:rPr>
          <w:bCs/>
          <w:szCs w:val="24"/>
        </w:rPr>
        <w:t>esk</w:t>
      </w:r>
      <w:r w:rsidRPr="00E11179">
        <w:rPr>
          <w:szCs w:val="24"/>
        </w:rPr>
        <w:t xml:space="preserve">. The checklist shall include a certification that the relocation plan complies with all applicable HUD requirements, including the </w:t>
      </w:r>
      <w:r w:rsidRPr="00E11179">
        <w:rPr>
          <w:bCs/>
          <w:szCs w:val="24"/>
        </w:rPr>
        <w:t xml:space="preserve">Uniform Relocation Assistance and Real Property Acquisition Policies Act of 1970 (URA) and its implementing regulations (49 CFR </w:t>
      </w:r>
      <w:r w:rsidR="00AE4AF6">
        <w:rPr>
          <w:bCs/>
          <w:szCs w:val="24"/>
        </w:rPr>
        <w:t>p</w:t>
      </w:r>
      <w:r w:rsidRPr="00E11179">
        <w:rPr>
          <w:bCs/>
          <w:szCs w:val="24"/>
        </w:rPr>
        <w:t>art 24) as well as</w:t>
      </w:r>
      <w:r w:rsidR="0050697A">
        <w:rPr>
          <w:bCs/>
          <w:szCs w:val="24"/>
        </w:rPr>
        <w:t xml:space="preserve"> applicable accessibility standards, including but not limited to those under</w:t>
      </w:r>
      <w:r w:rsidRPr="00E11179">
        <w:rPr>
          <w:bCs/>
          <w:szCs w:val="24"/>
        </w:rPr>
        <w:t xml:space="preserve"> Section 504 of the Rehabilitation Act of 1973 and its implementing regulations (24 CFR §</w:t>
      </w:r>
      <w:r w:rsidR="00AE4AF6">
        <w:rPr>
          <w:bCs/>
          <w:szCs w:val="24"/>
        </w:rPr>
        <w:t xml:space="preserve"> </w:t>
      </w:r>
      <w:r w:rsidRPr="00E11179">
        <w:rPr>
          <w:bCs/>
          <w:szCs w:val="24"/>
        </w:rPr>
        <w:t>8</w:t>
      </w:r>
      <w:r w:rsidRPr="00E11179">
        <w:rPr>
          <w:szCs w:val="24"/>
        </w:rPr>
        <w:t xml:space="preserve">.23). </w:t>
      </w:r>
      <w:r w:rsidRPr="00E11179">
        <w:rPr>
          <w:bCs/>
          <w:szCs w:val="24"/>
        </w:rPr>
        <w:t>The cost of</w:t>
      </w:r>
      <w:r w:rsidR="00CC17B3">
        <w:rPr>
          <w:bCs/>
          <w:szCs w:val="24"/>
        </w:rPr>
        <w:t xml:space="preserve"> accessibility improvements and</w:t>
      </w:r>
      <w:r w:rsidRPr="00E11179">
        <w:rPr>
          <w:bCs/>
          <w:szCs w:val="24"/>
        </w:rPr>
        <w:t xml:space="preserve"> relocation must be fully funded in the Development Budget. </w:t>
      </w:r>
      <w:r w:rsidR="000078CE">
        <w:rPr>
          <w:bCs/>
          <w:szCs w:val="24"/>
        </w:rPr>
        <w:t>Project Owner</w:t>
      </w:r>
      <w:r w:rsidR="00CC17B3" w:rsidRPr="00373DC0">
        <w:rPr>
          <w:bCs/>
          <w:szCs w:val="24"/>
        </w:rPr>
        <w:t>s</w:t>
      </w:r>
      <w:r w:rsidR="00CC17B3" w:rsidRPr="00D47847">
        <w:rPr>
          <w:bCs/>
          <w:szCs w:val="24"/>
        </w:rPr>
        <w:t xml:space="preserve"> are encouraged to use HUD’s guidance on relocation planning for persons with disabilities in HUD Handbook </w:t>
      </w:r>
      <w:r w:rsidR="00CC17B3" w:rsidRPr="00A07910">
        <w:rPr>
          <w:bCs/>
          <w:szCs w:val="24"/>
        </w:rPr>
        <w:t>1378.0</w:t>
      </w:r>
      <w:r w:rsidR="00CC17B3" w:rsidRPr="00F67215">
        <w:rPr>
          <w:bCs/>
          <w:szCs w:val="24"/>
        </w:rPr>
        <w:t xml:space="preserve">, </w:t>
      </w:r>
      <w:r w:rsidR="00CC17B3" w:rsidRPr="00A07910">
        <w:rPr>
          <w:bCs/>
          <w:szCs w:val="24"/>
        </w:rPr>
        <w:t>Exhibit 3-1</w:t>
      </w:r>
      <w:r w:rsidR="00CC17B3">
        <w:rPr>
          <w:bCs/>
          <w:szCs w:val="24"/>
        </w:rPr>
        <w:t xml:space="preserve"> and the RAD Fair Housing and Civil Rights Notice</w:t>
      </w:r>
      <w:r w:rsidR="0043258D">
        <w:rPr>
          <w:bCs/>
          <w:szCs w:val="24"/>
        </w:rPr>
        <w:t xml:space="preserve">. </w:t>
      </w:r>
    </w:p>
    <w:p w14:paraId="7F57C5BB" w14:textId="77777777" w:rsidR="00A14DCD" w:rsidRPr="00E11179" w:rsidRDefault="00A14DCD" w:rsidP="00A14DCD">
      <w:pPr>
        <w:spacing w:after="12"/>
        <w:ind w:left="360"/>
        <w:rPr>
          <w:bCs/>
          <w:szCs w:val="24"/>
        </w:rPr>
      </w:pPr>
    </w:p>
    <w:p w14:paraId="7F57C5BC" w14:textId="77777777" w:rsidR="003A5021" w:rsidRDefault="00A14DCD" w:rsidP="00794828">
      <w:pPr>
        <w:numPr>
          <w:ilvl w:val="0"/>
          <w:numId w:val="18"/>
        </w:numPr>
        <w:spacing w:after="12"/>
        <w:ind w:left="360" w:hanging="360"/>
        <w:rPr>
          <w:szCs w:val="24"/>
        </w:rPr>
      </w:pPr>
      <w:r w:rsidRPr="00E11179">
        <w:rPr>
          <w:b/>
          <w:szCs w:val="24"/>
        </w:rPr>
        <w:t>Development Budget (Sources and Uses of Funds)</w:t>
      </w:r>
      <w:r w:rsidRPr="00E11179">
        <w:rPr>
          <w:szCs w:val="24"/>
        </w:rPr>
        <w:t xml:space="preserve">. </w:t>
      </w:r>
    </w:p>
    <w:p w14:paraId="7F57C5BE" w14:textId="77777777" w:rsidR="00A14DCD" w:rsidRPr="00987FF8" w:rsidRDefault="00654D21" w:rsidP="00794828">
      <w:pPr>
        <w:numPr>
          <w:ilvl w:val="1"/>
          <w:numId w:val="18"/>
        </w:numPr>
        <w:tabs>
          <w:tab w:val="clear" w:pos="936"/>
        </w:tabs>
        <w:spacing w:after="12"/>
        <w:rPr>
          <w:szCs w:val="24"/>
        </w:rPr>
      </w:pPr>
      <w:r>
        <w:rPr>
          <w:szCs w:val="24"/>
        </w:rPr>
        <w:t xml:space="preserve">This paragraph only applies to projects conducting Work </w:t>
      </w:r>
      <w:r w:rsidR="00F86518">
        <w:rPr>
          <w:szCs w:val="24"/>
        </w:rPr>
        <w:t>simultaneous with</w:t>
      </w:r>
      <w:r>
        <w:rPr>
          <w:szCs w:val="24"/>
        </w:rPr>
        <w:t xml:space="preserve"> the Conversion.</w:t>
      </w:r>
      <w:r w:rsidR="00987FF8">
        <w:rPr>
          <w:szCs w:val="24"/>
        </w:rPr>
        <w:t xml:space="preserve"> The Development Budget must: </w:t>
      </w:r>
      <w:r w:rsidR="00A14DCD" w:rsidRPr="00987FF8">
        <w:rPr>
          <w:szCs w:val="24"/>
        </w:rPr>
        <w:t xml:space="preserve"> </w:t>
      </w:r>
    </w:p>
    <w:p w14:paraId="7F57C5BF" w14:textId="77777777" w:rsidR="00A14DCD" w:rsidRPr="00E11179" w:rsidRDefault="00A14DCD" w:rsidP="00794828">
      <w:pPr>
        <w:numPr>
          <w:ilvl w:val="2"/>
          <w:numId w:val="18"/>
        </w:numPr>
        <w:spacing w:after="12"/>
        <w:ind w:left="1440" w:hanging="360"/>
        <w:contextualSpacing/>
        <w:rPr>
          <w:szCs w:val="24"/>
        </w:rPr>
      </w:pPr>
      <w:r w:rsidRPr="00E11179">
        <w:rPr>
          <w:szCs w:val="24"/>
        </w:rPr>
        <w:t xml:space="preserve">Include a reasonable, balanced and comprehensive presentation of </w:t>
      </w:r>
      <w:r w:rsidR="00EA2D3C">
        <w:rPr>
          <w:szCs w:val="24"/>
        </w:rPr>
        <w:t xml:space="preserve">both construction period and permanent </w:t>
      </w:r>
      <w:r w:rsidRPr="00E11179">
        <w:rPr>
          <w:szCs w:val="24"/>
        </w:rPr>
        <w:t>sources and uses of funds</w:t>
      </w:r>
      <w:r>
        <w:rPr>
          <w:szCs w:val="24"/>
        </w:rPr>
        <w:t>.</w:t>
      </w:r>
      <w:r w:rsidRPr="00E11179">
        <w:rPr>
          <w:szCs w:val="24"/>
        </w:rPr>
        <w:t xml:space="preserve"> </w:t>
      </w:r>
    </w:p>
    <w:p w14:paraId="7F57C5C0" w14:textId="77777777" w:rsidR="00A14DCD" w:rsidRPr="00E11179" w:rsidRDefault="00A14DCD" w:rsidP="00794828">
      <w:pPr>
        <w:numPr>
          <w:ilvl w:val="2"/>
          <w:numId w:val="18"/>
        </w:numPr>
        <w:spacing w:after="12"/>
        <w:ind w:left="1440" w:hanging="360"/>
        <w:rPr>
          <w:szCs w:val="24"/>
        </w:rPr>
      </w:pPr>
      <w:r>
        <w:rPr>
          <w:szCs w:val="24"/>
        </w:rPr>
        <w:t xml:space="preserve">Identify </w:t>
      </w:r>
      <w:r w:rsidRPr="00E11179">
        <w:rPr>
          <w:szCs w:val="24"/>
        </w:rPr>
        <w:t xml:space="preserve">existing loans or debt </w:t>
      </w:r>
      <w:r w:rsidR="00EA2D3C">
        <w:rPr>
          <w:szCs w:val="24"/>
        </w:rPr>
        <w:t xml:space="preserve">that </w:t>
      </w:r>
      <w:r w:rsidRPr="00E11179">
        <w:rPr>
          <w:szCs w:val="24"/>
        </w:rPr>
        <w:t>will be paid off at the closing</w:t>
      </w:r>
      <w:r>
        <w:rPr>
          <w:szCs w:val="24"/>
        </w:rPr>
        <w:t>, if applicable.</w:t>
      </w:r>
    </w:p>
    <w:p w14:paraId="7F57C5C1" w14:textId="4986CFBF" w:rsidR="00A14DCD" w:rsidRPr="00E11179" w:rsidRDefault="00A14DCD" w:rsidP="00794828">
      <w:pPr>
        <w:numPr>
          <w:ilvl w:val="2"/>
          <w:numId w:val="18"/>
        </w:numPr>
        <w:spacing w:after="12"/>
        <w:ind w:left="1440" w:hanging="360"/>
        <w:rPr>
          <w:szCs w:val="24"/>
        </w:rPr>
      </w:pPr>
      <w:r w:rsidRPr="00E11179">
        <w:rPr>
          <w:szCs w:val="24"/>
        </w:rPr>
        <w:t>Demonstrate that any Identity of Interest (IOI) loans or advances will be converted to unsecured Surplus Cash</w:t>
      </w:r>
      <w:r>
        <w:rPr>
          <w:szCs w:val="24"/>
        </w:rPr>
        <w:t xml:space="preserve"> </w:t>
      </w:r>
      <w:r w:rsidR="00EA2D3C" w:rsidRPr="00E11179">
        <w:rPr>
          <w:szCs w:val="24"/>
        </w:rPr>
        <w:t>Notes</w:t>
      </w:r>
      <w:r w:rsidR="00EA2D3C">
        <w:rPr>
          <w:szCs w:val="24"/>
        </w:rPr>
        <w:t xml:space="preserve"> </w:t>
      </w:r>
      <w:r>
        <w:rPr>
          <w:szCs w:val="24"/>
        </w:rPr>
        <w:t>(</w:t>
      </w:r>
      <w:r w:rsidRPr="005B7B47">
        <w:rPr>
          <w:szCs w:val="24"/>
        </w:rPr>
        <w:t>Project’s cash remaining, after debt service, project operational costs and other permitted payments)</w:t>
      </w:r>
      <w:r w:rsidR="005A057A">
        <w:rPr>
          <w:szCs w:val="24"/>
        </w:rPr>
        <w:t xml:space="preserve"> unless otherwise approved by HUD</w:t>
      </w:r>
      <w:r w:rsidR="005B7B47">
        <w:rPr>
          <w:szCs w:val="24"/>
        </w:rPr>
        <w:t>.</w:t>
      </w:r>
      <w:r w:rsidRPr="00E11179">
        <w:rPr>
          <w:szCs w:val="24"/>
        </w:rPr>
        <w:t xml:space="preserve"> </w:t>
      </w:r>
    </w:p>
    <w:p w14:paraId="7F57C5C2" w14:textId="77777777" w:rsidR="00A14DCD" w:rsidRPr="00E11179" w:rsidRDefault="00A14DCD" w:rsidP="00794828">
      <w:pPr>
        <w:numPr>
          <w:ilvl w:val="2"/>
          <w:numId w:val="18"/>
        </w:numPr>
        <w:spacing w:after="12"/>
        <w:ind w:left="1440" w:hanging="360"/>
        <w:rPr>
          <w:szCs w:val="24"/>
        </w:rPr>
      </w:pPr>
      <w:r>
        <w:rPr>
          <w:szCs w:val="24"/>
        </w:rPr>
        <w:t>If applicable, identify the</w:t>
      </w:r>
      <w:r w:rsidRPr="00E11179">
        <w:rPr>
          <w:szCs w:val="24"/>
        </w:rPr>
        <w:t xml:space="preserve"> initial operating deficit during the </w:t>
      </w:r>
      <w:r>
        <w:rPr>
          <w:szCs w:val="24"/>
        </w:rPr>
        <w:t>construction period</w:t>
      </w:r>
      <w:r w:rsidRPr="00E11179">
        <w:rPr>
          <w:szCs w:val="24"/>
        </w:rPr>
        <w:t xml:space="preserve"> and how that deficit will be funded, </w:t>
      </w:r>
      <w:r>
        <w:rPr>
          <w:szCs w:val="24"/>
        </w:rPr>
        <w:t xml:space="preserve">such as </w:t>
      </w:r>
      <w:r w:rsidRPr="00E11179">
        <w:rPr>
          <w:szCs w:val="24"/>
        </w:rPr>
        <w:t>an operating deficit escrow or similar fund.</w:t>
      </w:r>
    </w:p>
    <w:p w14:paraId="7F57C5C3" w14:textId="77777777" w:rsidR="00A14DCD" w:rsidRPr="001C5722" w:rsidRDefault="00A14DCD" w:rsidP="00794828">
      <w:pPr>
        <w:numPr>
          <w:ilvl w:val="2"/>
          <w:numId w:val="18"/>
        </w:numPr>
        <w:spacing w:after="12"/>
        <w:ind w:left="1440" w:hanging="360"/>
        <w:rPr>
          <w:szCs w:val="24"/>
        </w:rPr>
      </w:pPr>
      <w:r w:rsidRPr="00E11179">
        <w:rPr>
          <w:szCs w:val="24"/>
        </w:rPr>
        <w:t xml:space="preserve">Include a Subsidy Layering Review (SLR) if one has been performed by another agency. If no SLR is provided, HUD will complete a SLR whenever multiple federal </w:t>
      </w:r>
      <w:r w:rsidRPr="001C5722">
        <w:rPr>
          <w:szCs w:val="24"/>
        </w:rPr>
        <w:t>sources are proposed</w:t>
      </w:r>
      <w:r w:rsidRPr="001C5722">
        <w:rPr>
          <w:rFonts w:eastAsia="Times New Roman"/>
          <w:szCs w:val="24"/>
        </w:rPr>
        <w:t xml:space="preserve">. </w:t>
      </w:r>
    </w:p>
    <w:p w14:paraId="50FF0296" w14:textId="77777777" w:rsidR="00B32F04" w:rsidRPr="001C5722" w:rsidRDefault="00B32F04" w:rsidP="00794828">
      <w:pPr>
        <w:numPr>
          <w:ilvl w:val="2"/>
          <w:numId w:val="18"/>
        </w:numPr>
        <w:spacing w:after="12"/>
        <w:ind w:left="1440" w:hanging="360"/>
        <w:contextualSpacing/>
        <w:rPr>
          <w:szCs w:val="24"/>
        </w:rPr>
      </w:pPr>
      <w:r w:rsidRPr="001C5722">
        <w:rPr>
          <w:szCs w:val="24"/>
        </w:rPr>
        <w:t>Provide a brief discussion of conditions/milestones to be satisfied prior to closing including any known impediments to closing within the timeframe required under the Notice;</w:t>
      </w:r>
    </w:p>
    <w:p w14:paraId="61EFBDFA" w14:textId="493C470C" w:rsidR="00B32F04" w:rsidRPr="001C5722" w:rsidRDefault="00B32F04" w:rsidP="00794828">
      <w:pPr>
        <w:numPr>
          <w:ilvl w:val="2"/>
          <w:numId w:val="18"/>
        </w:numPr>
        <w:spacing w:after="12"/>
        <w:ind w:left="1440" w:hanging="360"/>
        <w:contextualSpacing/>
        <w:rPr>
          <w:szCs w:val="24"/>
        </w:rPr>
      </w:pPr>
      <w:r w:rsidRPr="001C5722">
        <w:rPr>
          <w:szCs w:val="24"/>
        </w:rPr>
        <w:t xml:space="preserve">Estimated closing date(s) for all proposed financing; </w:t>
      </w:r>
    </w:p>
    <w:p w14:paraId="7F57C5C4" w14:textId="77777777" w:rsidR="00987FF8" w:rsidRPr="001C5722" w:rsidRDefault="00987FF8" w:rsidP="00987FF8">
      <w:pPr>
        <w:spacing w:after="12"/>
        <w:rPr>
          <w:szCs w:val="24"/>
        </w:rPr>
      </w:pPr>
    </w:p>
    <w:p w14:paraId="7F57C5C5" w14:textId="57DE95E8" w:rsidR="00987FF8" w:rsidRPr="001C5722" w:rsidRDefault="00987FF8" w:rsidP="00794828">
      <w:pPr>
        <w:numPr>
          <w:ilvl w:val="1"/>
          <w:numId w:val="18"/>
        </w:numPr>
        <w:tabs>
          <w:tab w:val="clear" w:pos="936"/>
        </w:tabs>
        <w:spacing w:after="12"/>
        <w:rPr>
          <w:szCs w:val="24"/>
        </w:rPr>
      </w:pPr>
      <w:r w:rsidRPr="001C5722">
        <w:rPr>
          <w:szCs w:val="24"/>
        </w:rPr>
        <w:t xml:space="preserve">For </w:t>
      </w:r>
      <w:r w:rsidR="00C1197B" w:rsidRPr="001C5722">
        <w:rPr>
          <w:szCs w:val="24"/>
        </w:rPr>
        <w:t>Conversions using FHA financing, conventional debt, or equity sources of financing</w:t>
      </w:r>
      <w:r w:rsidR="00A75B3D" w:rsidRPr="001C5722">
        <w:rPr>
          <w:szCs w:val="24"/>
        </w:rPr>
        <w:t>,</w:t>
      </w:r>
      <w:r w:rsidR="00C1197B" w:rsidRPr="001C5722">
        <w:rPr>
          <w:szCs w:val="24"/>
        </w:rPr>
        <w:t xml:space="preserve"> submit a copy of the </w:t>
      </w:r>
      <w:r w:rsidR="007806B4" w:rsidRPr="001C5722">
        <w:rPr>
          <w:szCs w:val="24"/>
        </w:rPr>
        <w:t>Development Budget</w:t>
      </w:r>
      <w:r w:rsidR="00C1197B" w:rsidRPr="001C5722">
        <w:rPr>
          <w:szCs w:val="24"/>
        </w:rPr>
        <w:t xml:space="preserve"> included with the FHA Application for Firm Commitment, </w:t>
      </w:r>
      <w:r w:rsidR="00B75B00" w:rsidRPr="001C5722">
        <w:rPr>
          <w:szCs w:val="24"/>
        </w:rPr>
        <w:t xml:space="preserve">or submitted to the </w:t>
      </w:r>
      <w:r w:rsidR="00C1197B" w:rsidRPr="001C5722">
        <w:rPr>
          <w:szCs w:val="24"/>
        </w:rPr>
        <w:t xml:space="preserve">lender, equity </w:t>
      </w:r>
      <w:r w:rsidR="002D4B27" w:rsidRPr="001C5722">
        <w:rPr>
          <w:szCs w:val="24"/>
        </w:rPr>
        <w:t>provider</w:t>
      </w:r>
      <w:r w:rsidR="00B75B00" w:rsidRPr="001C5722">
        <w:rPr>
          <w:szCs w:val="24"/>
        </w:rPr>
        <w:t xml:space="preserve"> (including LIHTC, historic tax credit or Opportunity Zone equity providers)</w:t>
      </w:r>
      <w:r w:rsidR="002D4B27" w:rsidRPr="001C5722">
        <w:rPr>
          <w:szCs w:val="24"/>
        </w:rPr>
        <w:t xml:space="preserve">, LIHTC </w:t>
      </w:r>
      <w:r w:rsidR="00B75B00" w:rsidRPr="001C5722">
        <w:rPr>
          <w:szCs w:val="24"/>
        </w:rPr>
        <w:t>allocating agency</w:t>
      </w:r>
      <w:r w:rsidR="002D4B27" w:rsidRPr="001C5722">
        <w:rPr>
          <w:szCs w:val="24"/>
        </w:rPr>
        <w:t xml:space="preserve"> or comparable</w:t>
      </w:r>
      <w:r w:rsidR="00B75B00" w:rsidRPr="001C5722">
        <w:rPr>
          <w:szCs w:val="24"/>
        </w:rPr>
        <w:t xml:space="preserve"> funding source</w:t>
      </w:r>
      <w:r w:rsidRPr="001C5722">
        <w:rPr>
          <w:szCs w:val="24"/>
        </w:rPr>
        <w:t xml:space="preserve">. </w:t>
      </w:r>
    </w:p>
    <w:p w14:paraId="7F57C5C6" w14:textId="77777777" w:rsidR="003B0AFF" w:rsidRPr="001C5722" w:rsidRDefault="003B0AFF" w:rsidP="003B0AFF">
      <w:pPr>
        <w:spacing w:after="12"/>
        <w:ind w:left="1108"/>
        <w:rPr>
          <w:szCs w:val="24"/>
        </w:rPr>
      </w:pPr>
    </w:p>
    <w:p w14:paraId="7F57C5C7" w14:textId="77777777" w:rsidR="003B0AFF" w:rsidRPr="001C5722" w:rsidRDefault="003B0AFF" w:rsidP="00794828">
      <w:pPr>
        <w:numPr>
          <w:ilvl w:val="1"/>
          <w:numId w:val="18"/>
        </w:numPr>
        <w:spacing w:after="12"/>
        <w:contextualSpacing/>
        <w:rPr>
          <w:szCs w:val="24"/>
        </w:rPr>
      </w:pPr>
      <w:r w:rsidRPr="001C5722">
        <w:rPr>
          <w:b/>
          <w:szCs w:val="24"/>
        </w:rPr>
        <w:t>For all FHA transactions or Conversions using equity sources of financing:</w:t>
      </w:r>
      <w:r w:rsidRPr="001C5722">
        <w:rPr>
          <w:szCs w:val="24"/>
        </w:rPr>
        <w:t xml:space="preserve"> </w:t>
      </w:r>
    </w:p>
    <w:p w14:paraId="7F57C5C8" w14:textId="3A87CF28" w:rsidR="003B0AFF" w:rsidRPr="001C5722" w:rsidRDefault="003B0AFF" w:rsidP="00794828">
      <w:pPr>
        <w:numPr>
          <w:ilvl w:val="2"/>
          <w:numId w:val="18"/>
        </w:numPr>
        <w:spacing w:after="12"/>
        <w:ind w:left="1440" w:hanging="360"/>
        <w:contextualSpacing/>
        <w:rPr>
          <w:szCs w:val="24"/>
        </w:rPr>
      </w:pPr>
      <w:r w:rsidRPr="001C5722">
        <w:rPr>
          <w:szCs w:val="24"/>
        </w:rPr>
        <w:t xml:space="preserve">For each proposed loan, equity contribution, or grant, the Conversion Plan must include a recent lender, investor or grant </w:t>
      </w:r>
      <w:r w:rsidR="00B75B00" w:rsidRPr="001C5722">
        <w:rPr>
          <w:szCs w:val="24"/>
        </w:rPr>
        <w:t>commitment</w:t>
      </w:r>
      <w:r w:rsidRPr="001C5722">
        <w:rPr>
          <w:szCs w:val="24"/>
        </w:rPr>
        <w:t xml:space="preserve"> letter, dated no </w:t>
      </w:r>
      <w:r w:rsidR="00B75B00" w:rsidRPr="001C5722">
        <w:rPr>
          <w:szCs w:val="24"/>
        </w:rPr>
        <w:t>more</w:t>
      </w:r>
      <w:r w:rsidRPr="001C5722">
        <w:rPr>
          <w:szCs w:val="24"/>
        </w:rPr>
        <w:t xml:space="preserve"> than 60 days prior to Conversion Plan submission, with key terms identified (including amount, repayment terms, interest rate, amortization, maturity, prepayment restrictions,</w:t>
      </w:r>
      <w:r w:rsidR="00FF1C34" w:rsidRPr="001C5722">
        <w:rPr>
          <w:szCs w:val="24"/>
        </w:rPr>
        <w:t xml:space="preserve"> </w:t>
      </w:r>
      <w:r w:rsidR="00756F1C" w:rsidRPr="001C5722">
        <w:rPr>
          <w:szCs w:val="24"/>
        </w:rPr>
        <w:t>and</w:t>
      </w:r>
      <w:r w:rsidR="00FF1C34" w:rsidRPr="001C5722">
        <w:rPr>
          <w:szCs w:val="24"/>
        </w:rPr>
        <w:t xml:space="preserve"> </w:t>
      </w:r>
      <w:r w:rsidRPr="001C5722">
        <w:rPr>
          <w:szCs w:val="24"/>
        </w:rPr>
        <w:t xml:space="preserve">pay-in schedule) from all financing provider(s). </w:t>
      </w:r>
    </w:p>
    <w:p w14:paraId="7F57C5C9" w14:textId="23A27954" w:rsidR="003B0AFF" w:rsidRPr="001C5722" w:rsidRDefault="003B0AFF" w:rsidP="00794828">
      <w:pPr>
        <w:numPr>
          <w:ilvl w:val="2"/>
          <w:numId w:val="18"/>
        </w:numPr>
        <w:ind w:left="1440" w:hanging="360"/>
        <w:rPr>
          <w:rFonts w:asciiTheme="minorHAnsi" w:hAnsiTheme="minorHAnsi" w:cstheme="minorHAnsi"/>
          <w:szCs w:val="24"/>
        </w:rPr>
      </w:pPr>
      <w:r w:rsidRPr="001C5722">
        <w:rPr>
          <w:szCs w:val="24"/>
        </w:rPr>
        <w:t xml:space="preserve">The </w:t>
      </w:r>
      <w:r w:rsidR="000078CE" w:rsidRPr="001C5722">
        <w:rPr>
          <w:szCs w:val="24"/>
        </w:rPr>
        <w:t>Project Owner</w:t>
      </w:r>
      <w:r w:rsidRPr="001C5722">
        <w:rPr>
          <w:szCs w:val="24"/>
        </w:rPr>
        <w:t xml:space="preserve"> must submit the FHA Application for Firm Commitment review </w:t>
      </w:r>
      <w:r w:rsidRPr="001C5722">
        <w:rPr>
          <w:b/>
          <w:szCs w:val="24"/>
          <w:u w:val="single"/>
        </w:rPr>
        <w:t>before</w:t>
      </w:r>
      <w:r w:rsidRPr="001C5722">
        <w:rPr>
          <w:szCs w:val="24"/>
        </w:rPr>
        <w:t xml:space="preserve"> the RAD conversion is submitted to the Office of Recapitalization.</w:t>
      </w:r>
    </w:p>
    <w:p w14:paraId="7F57C5CA" w14:textId="77777777" w:rsidR="003B0AFF" w:rsidRPr="001C5722" w:rsidRDefault="003B0AFF" w:rsidP="00794828">
      <w:pPr>
        <w:numPr>
          <w:ilvl w:val="1"/>
          <w:numId w:val="18"/>
        </w:numPr>
        <w:tabs>
          <w:tab w:val="clear" w:pos="936"/>
          <w:tab w:val="num" w:pos="720"/>
        </w:tabs>
        <w:spacing w:after="12"/>
        <w:ind w:left="720" w:hanging="180"/>
        <w:contextualSpacing/>
        <w:rPr>
          <w:szCs w:val="24"/>
        </w:rPr>
      </w:pPr>
      <w:r w:rsidRPr="001C5722">
        <w:rPr>
          <w:b/>
          <w:szCs w:val="24"/>
        </w:rPr>
        <w:t xml:space="preserve">For all other Conversions with new financing:  </w:t>
      </w:r>
    </w:p>
    <w:p w14:paraId="7F57C5CB" w14:textId="0A71AE8E" w:rsidR="003B0AFF" w:rsidRPr="001C5722" w:rsidRDefault="003B0AFF" w:rsidP="00794828">
      <w:pPr>
        <w:numPr>
          <w:ilvl w:val="2"/>
          <w:numId w:val="18"/>
        </w:numPr>
        <w:spacing w:after="12"/>
        <w:ind w:left="1440" w:hanging="360"/>
        <w:contextualSpacing/>
        <w:rPr>
          <w:szCs w:val="24"/>
        </w:rPr>
      </w:pPr>
      <w:r w:rsidRPr="001C5722">
        <w:rPr>
          <w:szCs w:val="24"/>
        </w:rPr>
        <w:t xml:space="preserve">For each proposed loan, equity contribution, or grant, the Conversion Plan must include a recent lender, investor or grant </w:t>
      </w:r>
      <w:r w:rsidR="00B75B00" w:rsidRPr="001C5722">
        <w:rPr>
          <w:szCs w:val="24"/>
        </w:rPr>
        <w:t>commitment</w:t>
      </w:r>
      <w:r w:rsidRPr="001C5722">
        <w:rPr>
          <w:szCs w:val="24"/>
        </w:rPr>
        <w:t xml:space="preserve"> letter, dated no </w:t>
      </w:r>
      <w:r w:rsidR="00B75B00" w:rsidRPr="001C5722">
        <w:rPr>
          <w:szCs w:val="24"/>
        </w:rPr>
        <w:t>more</w:t>
      </w:r>
      <w:r w:rsidRPr="001C5722">
        <w:rPr>
          <w:szCs w:val="24"/>
        </w:rPr>
        <w:t xml:space="preserve"> than 60 days prior to Conversion Plan submission, with key terms identified (including amount, repayment terms, interest rate, amortization, maturity, prepayment restrictions, </w:t>
      </w:r>
      <w:r w:rsidR="00756F1C" w:rsidRPr="001C5722">
        <w:rPr>
          <w:szCs w:val="24"/>
        </w:rPr>
        <w:t xml:space="preserve">and </w:t>
      </w:r>
      <w:r w:rsidRPr="001C5722">
        <w:rPr>
          <w:szCs w:val="24"/>
        </w:rPr>
        <w:t xml:space="preserve">pay-in schedule) from all financing provider(s); </w:t>
      </w:r>
    </w:p>
    <w:p w14:paraId="7F57C5CC" w14:textId="77777777" w:rsidR="003B0AFF" w:rsidRPr="001C5722" w:rsidRDefault="003B0AFF" w:rsidP="00794828">
      <w:pPr>
        <w:numPr>
          <w:ilvl w:val="2"/>
          <w:numId w:val="18"/>
        </w:numPr>
        <w:spacing w:after="12"/>
        <w:ind w:left="1440" w:hanging="360"/>
        <w:contextualSpacing/>
        <w:rPr>
          <w:szCs w:val="24"/>
        </w:rPr>
      </w:pPr>
      <w:r w:rsidRPr="001C5722">
        <w:rPr>
          <w:szCs w:val="24"/>
        </w:rPr>
        <w:t>All subordinate (or secondary) financing must be disclosed and then approved by the first-mortgage lender;</w:t>
      </w:r>
    </w:p>
    <w:p w14:paraId="7F57C5CF" w14:textId="77777777" w:rsidR="003B0AFF" w:rsidRPr="001C5722" w:rsidRDefault="003B0AFF" w:rsidP="00794828">
      <w:pPr>
        <w:numPr>
          <w:ilvl w:val="2"/>
          <w:numId w:val="18"/>
        </w:numPr>
        <w:spacing w:after="12"/>
        <w:ind w:left="1440" w:hanging="360"/>
        <w:contextualSpacing/>
        <w:rPr>
          <w:szCs w:val="24"/>
        </w:rPr>
      </w:pPr>
      <w:r w:rsidRPr="001C5722">
        <w:rPr>
          <w:szCs w:val="24"/>
        </w:rPr>
        <w:t>The terms for all seller take-back financing must also be disclosed;</w:t>
      </w:r>
    </w:p>
    <w:p w14:paraId="7F57C5D0" w14:textId="29FBA2B4" w:rsidR="00A14DCD" w:rsidRPr="001C5722" w:rsidRDefault="003B0AFF" w:rsidP="00794828">
      <w:pPr>
        <w:pStyle w:val="ListParagraph"/>
        <w:numPr>
          <w:ilvl w:val="2"/>
          <w:numId w:val="18"/>
        </w:numPr>
        <w:ind w:left="1440" w:hanging="360"/>
        <w:rPr>
          <w:sz w:val="24"/>
          <w:szCs w:val="24"/>
        </w:rPr>
      </w:pPr>
      <w:r w:rsidRPr="001C5722">
        <w:rPr>
          <w:sz w:val="24"/>
          <w:szCs w:val="24"/>
        </w:rPr>
        <w:t>If project revenue or existing reserves will</w:t>
      </w:r>
      <w:r w:rsidR="00B32F04" w:rsidRPr="001C5722">
        <w:rPr>
          <w:sz w:val="24"/>
          <w:szCs w:val="24"/>
        </w:rPr>
        <w:t xml:space="preserve"> be</w:t>
      </w:r>
      <w:r w:rsidRPr="001C5722">
        <w:rPr>
          <w:sz w:val="24"/>
          <w:szCs w:val="24"/>
        </w:rPr>
        <w:t xml:space="preserve"> a source of funding, submit evidence of the current account balances. </w:t>
      </w:r>
    </w:p>
    <w:p w14:paraId="7F57C5D1" w14:textId="74BE1C4D" w:rsidR="00A14DCD" w:rsidRDefault="00AF3F2C" w:rsidP="00794828">
      <w:pPr>
        <w:numPr>
          <w:ilvl w:val="0"/>
          <w:numId w:val="18"/>
        </w:numPr>
        <w:spacing w:after="12"/>
        <w:ind w:left="360" w:hanging="360"/>
        <w:rPr>
          <w:szCs w:val="24"/>
        </w:rPr>
      </w:pPr>
      <w:r w:rsidRPr="001C5722">
        <w:rPr>
          <w:b/>
          <w:szCs w:val="24"/>
        </w:rPr>
        <w:t xml:space="preserve">Proposed </w:t>
      </w:r>
      <w:r w:rsidR="00A14DCD" w:rsidRPr="001C5722">
        <w:rPr>
          <w:b/>
          <w:szCs w:val="24"/>
        </w:rPr>
        <w:t xml:space="preserve">Development Team. </w:t>
      </w:r>
      <w:r w:rsidR="00A14DCD" w:rsidRPr="001C5722">
        <w:rPr>
          <w:szCs w:val="24"/>
        </w:rPr>
        <w:t>The</w:t>
      </w:r>
      <w:r w:rsidR="00A14DCD" w:rsidRPr="00E11179">
        <w:rPr>
          <w:szCs w:val="24"/>
        </w:rPr>
        <w:t xml:space="preserve"> </w:t>
      </w:r>
      <w:r w:rsidR="000078CE">
        <w:rPr>
          <w:szCs w:val="24"/>
        </w:rPr>
        <w:t>Project Owner</w:t>
      </w:r>
      <w:r w:rsidR="00A14DCD" w:rsidRPr="00E11179">
        <w:rPr>
          <w:szCs w:val="24"/>
        </w:rPr>
        <w:t xml:space="preserve"> must </w:t>
      </w:r>
      <w:r w:rsidR="00E06E47">
        <w:rPr>
          <w:szCs w:val="24"/>
        </w:rPr>
        <w:t>identify the proposed legal entity that will own the Co</w:t>
      </w:r>
      <w:r w:rsidR="0065719B">
        <w:rPr>
          <w:szCs w:val="24"/>
        </w:rPr>
        <w:t>vered</w:t>
      </w:r>
      <w:r w:rsidR="00E06E47">
        <w:rPr>
          <w:szCs w:val="24"/>
        </w:rPr>
        <w:t xml:space="preserve"> Project following conversion, the proposed management agent following conversion, and the “principals” of both entities</w:t>
      </w:r>
      <w:r w:rsidR="00AD131C">
        <w:rPr>
          <w:szCs w:val="24"/>
        </w:rPr>
        <w:t xml:space="preserve">. </w:t>
      </w:r>
      <w:r w:rsidR="00E06E47">
        <w:rPr>
          <w:szCs w:val="24"/>
        </w:rPr>
        <w:t xml:space="preserve">In addition, the </w:t>
      </w:r>
      <w:r w:rsidR="000078CE">
        <w:rPr>
          <w:szCs w:val="24"/>
        </w:rPr>
        <w:t>Project Owner</w:t>
      </w:r>
      <w:r w:rsidR="00E06E47">
        <w:rPr>
          <w:szCs w:val="24"/>
        </w:rPr>
        <w:t xml:space="preserve"> shall provide the following:</w:t>
      </w:r>
    </w:p>
    <w:p w14:paraId="7F57C5D2" w14:textId="77777777" w:rsidR="00E06E47" w:rsidRPr="00E11179" w:rsidRDefault="00E06E47" w:rsidP="00E06E47">
      <w:pPr>
        <w:spacing w:after="12"/>
        <w:ind w:left="360"/>
        <w:rPr>
          <w:szCs w:val="24"/>
        </w:rPr>
      </w:pPr>
    </w:p>
    <w:p w14:paraId="7F57C5D3" w14:textId="20F861AA" w:rsidR="00E06E47" w:rsidRPr="003B0AFF" w:rsidRDefault="00E06E47" w:rsidP="00794828">
      <w:pPr>
        <w:numPr>
          <w:ilvl w:val="1"/>
          <w:numId w:val="18"/>
        </w:numPr>
        <w:tabs>
          <w:tab w:val="clear" w:pos="936"/>
          <w:tab w:val="left" w:pos="720"/>
          <w:tab w:val="num" w:pos="1260"/>
        </w:tabs>
        <w:spacing w:after="12"/>
        <w:ind w:left="720" w:hanging="180"/>
        <w:contextualSpacing/>
        <w:rPr>
          <w:szCs w:val="24"/>
        </w:rPr>
      </w:pPr>
      <w:r w:rsidRPr="003B0AFF">
        <w:rPr>
          <w:szCs w:val="24"/>
        </w:rPr>
        <w:t xml:space="preserve">For all conversions with a proposed change in </w:t>
      </w:r>
      <w:r w:rsidR="000078CE">
        <w:rPr>
          <w:szCs w:val="24"/>
        </w:rPr>
        <w:t>o</w:t>
      </w:r>
      <w:r w:rsidR="00CA79EC">
        <w:rPr>
          <w:szCs w:val="24"/>
        </w:rPr>
        <w:t>wner</w:t>
      </w:r>
      <w:r w:rsidRPr="003B0AFF">
        <w:rPr>
          <w:szCs w:val="24"/>
        </w:rPr>
        <w:t xml:space="preserve">ship entity, </w:t>
      </w:r>
      <w:r w:rsidR="003B0AFF" w:rsidRPr="003B0AFF">
        <w:rPr>
          <w:szCs w:val="24"/>
        </w:rPr>
        <w:t xml:space="preserve">the new </w:t>
      </w:r>
      <w:r w:rsidR="000078CE">
        <w:rPr>
          <w:szCs w:val="24"/>
        </w:rPr>
        <w:t>Project Owner</w:t>
      </w:r>
      <w:r w:rsidR="003B0AFF" w:rsidRPr="003B0AFF">
        <w:rPr>
          <w:szCs w:val="24"/>
        </w:rPr>
        <w:t xml:space="preserve"> must provide evidence of successful experience owning and operating HUD or other multifamily housing properties.</w:t>
      </w:r>
      <w:r w:rsidR="004000F3">
        <w:rPr>
          <w:szCs w:val="24"/>
        </w:rPr>
        <w:t xml:space="preserve"> New Owners may be required to demonstrate that the criteria specified in </w:t>
      </w:r>
      <w:hyperlink r:id="rId20" w:history="1">
        <w:r w:rsidR="004000F3" w:rsidRPr="00317DDE">
          <w:rPr>
            <w:rStyle w:val="Hyperlink"/>
            <w:szCs w:val="24"/>
          </w:rPr>
          <w:t>HUD Handbook 4350.1, Chapter 13, Change in Ownership: Transfer of Physical Asset</w:t>
        </w:r>
        <w:r w:rsidR="00317DDE" w:rsidRPr="00317DDE">
          <w:rPr>
            <w:rStyle w:val="Hyperlink"/>
            <w:szCs w:val="24"/>
          </w:rPr>
          <w:t>s</w:t>
        </w:r>
      </w:hyperlink>
      <w:r w:rsidR="004000F3">
        <w:rPr>
          <w:szCs w:val="24"/>
        </w:rPr>
        <w:t xml:space="preserve"> have been met in part or </w:t>
      </w:r>
      <w:r w:rsidR="00317DDE">
        <w:rPr>
          <w:szCs w:val="24"/>
        </w:rPr>
        <w:t xml:space="preserve">in whole. </w:t>
      </w:r>
    </w:p>
    <w:p w14:paraId="7F57C5D4" w14:textId="5F251ADD" w:rsidR="00A14DCD" w:rsidRDefault="00A14DCD" w:rsidP="00794828">
      <w:pPr>
        <w:numPr>
          <w:ilvl w:val="1"/>
          <w:numId w:val="18"/>
        </w:numPr>
        <w:tabs>
          <w:tab w:val="clear" w:pos="936"/>
          <w:tab w:val="left" w:pos="720"/>
          <w:tab w:val="num" w:pos="1260"/>
        </w:tabs>
        <w:spacing w:after="12"/>
        <w:ind w:left="720" w:hanging="180"/>
        <w:contextualSpacing/>
        <w:rPr>
          <w:szCs w:val="24"/>
        </w:rPr>
      </w:pPr>
      <w:r w:rsidRPr="00E11179">
        <w:rPr>
          <w:szCs w:val="24"/>
        </w:rPr>
        <w:t>For PBRA conversions</w:t>
      </w:r>
      <w:r w:rsidR="003337D3">
        <w:rPr>
          <w:szCs w:val="24"/>
        </w:rPr>
        <w:t xml:space="preserve"> with a proposed change in </w:t>
      </w:r>
      <w:r w:rsidR="000078CE">
        <w:rPr>
          <w:szCs w:val="24"/>
        </w:rPr>
        <w:t>o</w:t>
      </w:r>
      <w:r w:rsidR="00CA79EC">
        <w:rPr>
          <w:szCs w:val="24"/>
        </w:rPr>
        <w:t>wner</w:t>
      </w:r>
      <w:r w:rsidR="003337D3">
        <w:rPr>
          <w:szCs w:val="24"/>
        </w:rPr>
        <w:t>ship</w:t>
      </w:r>
      <w:r w:rsidR="00F4418B">
        <w:rPr>
          <w:szCs w:val="24"/>
        </w:rPr>
        <w:t xml:space="preserve"> entity</w:t>
      </w:r>
      <w:r w:rsidR="00E176EF">
        <w:rPr>
          <w:szCs w:val="24"/>
        </w:rPr>
        <w:t xml:space="preserve"> or a material proposed change in ownership of the existing ownership entity</w:t>
      </w:r>
      <w:r w:rsidR="003337D3">
        <w:rPr>
          <w:szCs w:val="24"/>
        </w:rPr>
        <w:t xml:space="preserve">, the </w:t>
      </w:r>
      <w:r w:rsidR="00E176EF">
        <w:rPr>
          <w:szCs w:val="24"/>
        </w:rPr>
        <w:t xml:space="preserve">new </w:t>
      </w:r>
      <w:r w:rsidR="000078CE">
        <w:rPr>
          <w:szCs w:val="24"/>
        </w:rPr>
        <w:t>Project Owner</w:t>
      </w:r>
      <w:r w:rsidR="003337D3">
        <w:rPr>
          <w:szCs w:val="24"/>
        </w:rPr>
        <w:t xml:space="preserve"> must submit</w:t>
      </w:r>
      <w:r w:rsidRPr="00E11179">
        <w:rPr>
          <w:szCs w:val="24"/>
        </w:rPr>
        <w:t xml:space="preserve"> evidence that all</w:t>
      </w:r>
      <w:r w:rsidR="003337D3">
        <w:rPr>
          <w:szCs w:val="24"/>
        </w:rPr>
        <w:t xml:space="preserve"> new</w:t>
      </w:r>
      <w:r w:rsidRPr="00E11179">
        <w:rPr>
          <w:szCs w:val="24"/>
        </w:rPr>
        <w:t xml:space="preserve"> principals have </w:t>
      </w:r>
      <w:r w:rsidR="00E176EF">
        <w:rPr>
          <w:szCs w:val="24"/>
        </w:rPr>
        <w:t xml:space="preserve">a </w:t>
      </w:r>
      <w:r w:rsidRPr="00E11179">
        <w:rPr>
          <w:szCs w:val="24"/>
        </w:rPr>
        <w:t xml:space="preserve">Previous Participation Certification in the Active Partners Performance System (APPS) (formerly </w:t>
      </w:r>
      <w:r w:rsidR="008E7689">
        <w:rPr>
          <w:szCs w:val="24"/>
        </w:rPr>
        <w:t>referred to as Form HUD-2</w:t>
      </w:r>
      <w:r w:rsidRPr="00E11179">
        <w:rPr>
          <w:szCs w:val="24"/>
        </w:rPr>
        <w:t>530) and are not be debarred, suspended, or subject to a Limited Denial of Participation.</w:t>
      </w:r>
      <w:r w:rsidR="00664468" w:rsidRPr="00E11179" w:rsidDel="00664468">
        <w:rPr>
          <w:vertAlign w:val="superscript"/>
        </w:rPr>
        <w:t xml:space="preserve"> </w:t>
      </w:r>
    </w:p>
    <w:p w14:paraId="7F57C5D5" w14:textId="4CFB7514" w:rsidR="00E06E47" w:rsidRPr="003B0AFF" w:rsidRDefault="00E06E47" w:rsidP="00794828">
      <w:pPr>
        <w:numPr>
          <w:ilvl w:val="1"/>
          <w:numId w:val="18"/>
        </w:numPr>
        <w:tabs>
          <w:tab w:val="clear" w:pos="936"/>
          <w:tab w:val="left" w:pos="720"/>
          <w:tab w:val="num" w:pos="1260"/>
        </w:tabs>
        <w:spacing w:after="12"/>
        <w:ind w:left="720" w:hanging="180"/>
        <w:contextualSpacing/>
        <w:rPr>
          <w:szCs w:val="24"/>
        </w:rPr>
      </w:pPr>
      <w:r w:rsidRPr="003B0AFF">
        <w:rPr>
          <w:szCs w:val="24"/>
        </w:rPr>
        <w:t xml:space="preserve">For all </w:t>
      </w:r>
      <w:r w:rsidR="00621732" w:rsidRPr="003B0AFF">
        <w:rPr>
          <w:szCs w:val="24"/>
        </w:rPr>
        <w:t xml:space="preserve">conversions </w:t>
      </w:r>
      <w:r w:rsidRPr="003B0AFF">
        <w:rPr>
          <w:szCs w:val="24"/>
        </w:rPr>
        <w:t>with a proposed change in management agent</w:t>
      </w:r>
      <w:r w:rsidR="003B0AFF" w:rsidRPr="003B0AFF">
        <w:rPr>
          <w:szCs w:val="24"/>
        </w:rPr>
        <w:t xml:space="preserve"> the new agent must provide evidence of successful experience managing and operating HUD or other multifamily housing properties.</w:t>
      </w:r>
      <w:r w:rsidR="004000F3">
        <w:rPr>
          <w:szCs w:val="24"/>
        </w:rPr>
        <w:t xml:space="preserve"> </w:t>
      </w:r>
    </w:p>
    <w:p w14:paraId="7F57C5D6" w14:textId="364F2A37" w:rsidR="00A14DCD" w:rsidRDefault="00621732" w:rsidP="00794828">
      <w:pPr>
        <w:numPr>
          <w:ilvl w:val="1"/>
          <w:numId w:val="18"/>
        </w:numPr>
        <w:tabs>
          <w:tab w:val="clear" w:pos="936"/>
          <w:tab w:val="left" w:pos="720"/>
          <w:tab w:val="num" w:pos="1260"/>
        </w:tabs>
        <w:spacing w:after="12"/>
        <w:ind w:left="720" w:hanging="180"/>
        <w:contextualSpacing/>
        <w:rPr>
          <w:szCs w:val="24"/>
        </w:rPr>
      </w:pPr>
      <w:r>
        <w:rPr>
          <w:szCs w:val="24"/>
        </w:rPr>
        <w:t xml:space="preserve">For all conversions in which Work is proposed, </w:t>
      </w:r>
      <w:r w:rsidR="00E176EF">
        <w:rPr>
          <w:szCs w:val="24"/>
        </w:rPr>
        <w:t xml:space="preserve">the Project Owner must submit </w:t>
      </w:r>
      <w:r>
        <w:rPr>
          <w:szCs w:val="24"/>
        </w:rPr>
        <w:t xml:space="preserve">the identity of the general contractor or construction manager or a statement that the </w:t>
      </w:r>
      <w:r w:rsidR="000078CE">
        <w:rPr>
          <w:szCs w:val="24"/>
        </w:rPr>
        <w:t>Project Owner</w:t>
      </w:r>
      <w:r>
        <w:rPr>
          <w:szCs w:val="24"/>
        </w:rPr>
        <w:t xml:space="preserve"> will be managing construction directly, together with e</w:t>
      </w:r>
      <w:r w:rsidRPr="00E11179">
        <w:rPr>
          <w:szCs w:val="24"/>
        </w:rPr>
        <w:t xml:space="preserve">vidence of </w:t>
      </w:r>
      <w:r>
        <w:rPr>
          <w:szCs w:val="24"/>
        </w:rPr>
        <w:t xml:space="preserve">the general contractor’s, construction manager’s or </w:t>
      </w:r>
      <w:r w:rsidR="000078CE">
        <w:rPr>
          <w:szCs w:val="24"/>
        </w:rPr>
        <w:t>Project Owner</w:t>
      </w:r>
      <w:r>
        <w:rPr>
          <w:szCs w:val="24"/>
        </w:rPr>
        <w:t xml:space="preserve">’s </w:t>
      </w:r>
      <w:r w:rsidRPr="00E11179">
        <w:rPr>
          <w:szCs w:val="24"/>
        </w:rPr>
        <w:t>recent</w:t>
      </w:r>
      <w:r>
        <w:rPr>
          <w:szCs w:val="24"/>
        </w:rPr>
        <w:t xml:space="preserve"> and</w:t>
      </w:r>
      <w:r w:rsidRPr="00E11179">
        <w:rPr>
          <w:szCs w:val="24"/>
        </w:rPr>
        <w:t xml:space="preserve"> successful experience with similar rehabilitation or construction projects. </w:t>
      </w:r>
    </w:p>
    <w:p w14:paraId="7F57C5D7" w14:textId="77777777" w:rsidR="003B0AFF" w:rsidRPr="00621732" w:rsidRDefault="003B0AFF" w:rsidP="003B0AFF">
      <w:pPr>
        <w:tabs>
          <w:tab w:val="left" w:pos="720"/>
        </w:tabs>
        <w:spacing w:after="12"/>
        <w:ind w:left="720"/>
        <w:contextualSpacing/>
        <w:rPr>
          <w:szCs w:val="24"/>
        </w:rPr>
      </w:pPr>
    </w:p>
    <w:p w14:paraId="7F57C5D8" w14:textId="77777777" w:rsidR="00A14DCD" w:rsidRPr="007806B4" w:rsidRDefault="00A14DCD" w:rsidP="00794828">
      <w:pPr>
        <w:numPr>
          <w:ilvl w:val="0"/>
          <w:numId w:val="18"/>
        </w:numPr>
        <w:spacing w:after="12"/>
        <w:ind w:left="360" w:hanging="360"/>
        <w:rPr>
          <w:b/>
          <w:szCs w:val="24"/>
        </w:rPr>
      </w:pPr>
      <w:r w:rsidRPr="00E11179">
        <w:rPr>
          <w:b/>
          <w:szCs w:val="24"/>
        </w:rPr>
        <w:t xml:space="preserve">Operating Pro Forma. </w:t>
      </w:r>
      <w:r w:rsidR="00F86518">
        <w:rPr>
          <w:szCs w:val="24"/>
        </w:rPr>
        <w:t xml:space="preserve">This paragraph only applies to projects taking out new financing simultaneous with the Conversion. </w:t>
      </w:r>
      <w:r w:rsidRPr="00E11179">
        <w:rPr>
          <w:szCs w:val="24"/>
        </w:rPr>
        <w:t>The Operating Pro-Forma must:</w:t>
      </w:r>
    </w:p>
    <w:p w14:paraId="7F57C5D9" w14:textId="77777777" w:rsidR="00A14DCD" w:rsidRPr="00CA74F8" w:rsidRDefault="00F9671B" w:rsidP="00794828">
      <w:pPr>
        <w:numPr>
          <w:ilvl w:val="1"/>
          <w:numId w:val="18"/>
        </w:numPr>
        <w:tabs>
          <w:tab w:val="clear" w:pos="936"/>
        </w:tabs>
        <w:spacing w:after="12"/>
        <w:ind w:left="720" w:hanging="180"/>
        <w:rPr>
          <w:szCs w:val="24"/>
        </w:rPr>
      </w:pPr>
      <w:r w:rsidRPr="007806B4">
        <w:rPr>
          <w:b/>
          <w:szCs w:val="24"/>
        </w:rPr>
        <w:t xml:space="preserve">For all </w:t>
      </w:r>
      <w:r w:rsidR="00A14DCD" w:rsidRPr="007806B4">
        <w:rPr>
          <w:b/>
          <w:szCs w:val="24"/>
        </w:rPr>
        <w:t xml:space="preserve">FHA transactions or </w:t>
      </w:r>
      <w:r w:rsidRPr="007806B4">
        <w:rPr>
          <w:b/>
          <w:szCs w:val="24"/>
        </w:rPr>
        <w:t>Conversion</w:t>
      </w:r>
      <w:r w:rsidR="00A14DCD" w:rsidRPr="007806B4">
        <w:rPr>
          <w:b/>
          <w:szCs w:val="24"/>
        </w:rPr>
        <w:t xml:space="preserve">s using equity </w:t>
      </w:r>
      <w:r w:rsidR="00446B22" w:rsidRPr="007806B4">
        <w:rPr>
          <w:b/>
          <w:szCs w:val="24"/>
        </w:rPr>
        <w:t>sources</w:t>
      </w:r>
      <w:r w:rsidR="00446B22">
        <w:rPr>
          <w:b/>
          <w:szCs w:val="24"/>
        </w:rPr>
        <w:t xml:space="preserve"> of </w:t>
      </w:r>
      <w:r w:rsidR="00A14DCD" w:rsidRPr="00CA74F8">
        <w:rPr>
          <w:b/>
          <w:szCs w:val="24"/>
        </w:rPr>
        <w:t>financing</w:t>
      </w:r>
      <w:r w:rsidR="00F86518">
        <w:rPr>
          <w:b/>
          <w:szCs w:val="24"/>
        </w:rPr>
        <w:t>:</w:t>
      </w:r>
      <w:r w:rsidR="00A14DCD" w:rsidRPr="00CA74F8">
        <w:rPr>
          <w:b/>
          <w:szCs w:val="24"/>
        </w:rPr>
        <w:t xml:space="preserve"> </w:t>
      </w:r>
    </w:p>
    <w:p w14:paraId="7F57C5DA" w14:textId="7448BFBE" w:rsidR="00A14DCD" w:rsidRDefault="00A14DCD" w:rsidP="00794828">
      <w:pPr>
        <w:numPr>
          <w:ilvl w:val="2"/>
          <w:numId w:val="18"/>
        </w:numPr>
        <w:spacing w:after="12"/>
        <w:ind w:left="1080" w:hanging="360"/>
        <w:rPr>
          <w:szCs w:val="24"/>
        </w:rPr>
      </w:pPr>
      <w:r w:rsidRPr="00CA74F8">
        <w:rPr>
          <w:szCs w:val="24"/>
        </w:rPr>
        <w:t xml:space="preserve">Provide </w:t>
      </w:r>
      <w:r w:rsidR="00DA7BF6">
        <w:rPr>
          <w:szCs w:val="24"/>
        </w:rPr>
        <w:t xml:space="preserve">a copy of </w:t>
      </w:r>
      <w:r w:rsidRPr="00CA74F8">
        <w:rPr>
          <w:szCs w:val="24"/>
        </w:rPr>
        <w:t xml:space="preserve">the </w:t>
      </w:r>
      <w:r w:rsidR="00DA7BF6">
        <w:rPr>
          <w:szCs w:val="24"/>
        </w:rPr>
        <w:t>O</w:t>
      </w:r>
      <w:r w:rsidRPr="00CA74F8">
        <w:rPr>
          <w:szCs w:val="24"/>
        </w:rPr>
        <w:t xml:space="preserve">perating </w:t>
      </w:r>
      <w:r w:rsidR="00DA7BF6">
        <w:rPr>
          <w:szCs w:val="24"/>
        </w:rPr>
        <w:t>P</w:t>
      </w:r>
      <w:r w:rsidRPr="00CA74F8">
        <w:rPr>
          <w:szCs w:val="24"/>
        </w:rPr>
        <w:t xml:space="preserve">ro </w:t>
      </w:r>
      <w:r w:rsidR="00DA7BF6">
        <w:rPr>
          <w:szCs w:val="24"/>
        </w:rPr>
        <w:t>F</w:t>
      </w:r>
      <w:r w:rsidRPr="00CA74F8">
        <w:rPr>
          <w:szCs w:val="24"/>
        </w:rPr>
        <w:t>orma that was submitted with</w:t>
      </w:r>
      <w:r w:rsidR="00DA7BF6">
        <w:rPr>
          <w:szCs w:val="24"/>
        </w:rPr>
        <w:t xml:space="preserve"> the</w:t>
      </w:r>
      <w:r w:rsidRPr="00CA74F8">
        <w:rPr>
          <w:szCs w:val="24"/>
        </w:rPr>
        <w:t xml:space="preserve"> FHA</w:t>
      </w:r>
      <w:r w:rsidR="00DA7BF6">
        <w:rPr>
          <w:szCs w:val="24"/>
        </w:rPr>
        <w:t xml:space="preserve"> Application for Firm Commitment </w:t>
      </w:r>
      <w:r w:rsidR="00E176EF">
        <w:rPr>
          <w:szCs w:val="24"/>
        </w:rPr>
        <w:t>or submitted to the lender, equity provider (including LIHTC, historic tax credit or Opportunity Zone equity providers),</w:t>
      </w:r>
      <w:r w:rsidR="00E176EF" w:rsidRPr="00751536">
        <w:rPr>
          <w:szCs w:val="24"/>
        </w:rPr>
        <w:t xml:space="preserve"> LIHTC</w:t>
      </w:r>
      <w:r w:rsidR="00E176EF">
        <w:rPr>
          <w:szCs w:val="24"/>
        </w:rPr>
        <w:t xml:space="preserve"> allocating agency or comparable funding source</w:t>
      </w:r>
      <w:r w:rsidR="00E176EF" w:rsidRPr="00A07323">
        <w:rPr>
          <w:szCs w:val="24"/>
        </w:rPr>
        <w:t>.</w:t>
      </w:r>
    </w:p>
    <w:p w14:paraId="7F57C5DB" w14:textId="77777777" w:rsidR="00A14DCD" w:rsidRPr="00E11179" w:rsidRDefault="00F9671B" w:rsidP="00794828">
      <w:pPr>
        <w:numPr>
          <w:ilvl w:val="1"/>
          <w:numId w:val="18"/>
        </w:numPr>
        <w:tabs>
          <w:tab w:val="clear" w:pos="936"/>
          <w:tab w:val="num" w:pos="720"/>
        </w:tabs>
        <w:spacing w:after="12"/>
        <w:ind w:left="900" w:hanging="360"/>
        <w:rPr>
          <w:szCs w:val="24"/>
        </w:rPr>
      </w:pPr>
      <w:r>
        <w:rPr>
          <w:b/>
          <w:szCs w:val="24"/>
        </w:rPr>
        <w:t>For a</w:t>
      </w:r>
      <w:r w:rsidR="00A14DCD">
        <w:rPr>
          <w:b/>
          <w:szCs w:val="24"/>
        </w:rPr>
        <w:t xml:space="preserve">ll </w:t>
      </w:r>
      <w:r>
        <w:rPr>
          <w:b/>
          <w:szCs w:val="24"/>
        </w:rPr>
        <w:t>other Conversions with new financing</w:t>
      </w:r>
      <w:r w:rsidR="00A14DCD">
        <w:rPr>
          <w:b/>
          <w:szCs w:val="24"/>
        </w:rPr>
        <w:t>:</w:t>
      </w:r>
    </w:p>
    <w:p w14:paraId="7F57C5DC" w14:textId="0C52E0AA" w:rsidR="00A14DCD" w:rsidRPr="00E11179" w:rsidRDefault="00DA7BF6" w:rsidP="00794828">
      <w:pPr>
        <w:numPr>
          <w:ilvl w:val="2"/>
          <w:numId w:val="18"/>
        </w:numPr>
        <w:spacing w:after="12"/>
        <w:ind w:left="1080" w:hanging="360"/>
        <w:rPr>
          <w:szCs w:val="24"/>
        </w:rPr>
      </w:pPr>
      <w:r>
        <w:rPr>
          <w:szCs w:val="24"/>
        </w:rPr>
        <w:t>Provide a 20-year Operating Pro Forma i</w:t>
      </w:r>
      <w:r w:rsidR="00A14DCD" w:rsidRPr="00E11179">
        <w:rPr>
          <w:szCs w:val="24"/>
        </w:rPr>
        <w:t xml:space="preserve">n an </w:t>
      </w:r>
      <w:r w:rsidR="000078CE">
        <w:rPr>
          <w:szCs w:val="24"/>
        </w:rPr>
        <w:t>o</w:t>
      </w:r>
      <w:r w:rsidR="00CA79EC">
        <w:rPr>
          <w:szCs w:val="24"/>
        </w:rPr>
        <w:t>wner</w:t>
      </w:r>
      <w:r>
        <w:rPr>
          <w:szCs w:val="24"/>
        </w:rPr>
        <w:t>-</w:t>
      </w:r>
      <w:r w:rsidR="00A14DCD" w:rsidRPr="00E11179">
        <w:rPr>
          <w:szCs w:val="24"/>
        </w:rPr>
        <w:t xml:space="preserve">provided template, </w:t>
      </w:r>
    </w:p>
    <w:p w14:paraId="7F57C5DD" w14:textId="77777777" w:rsidR="00A14DCD" w:rsidRPr="00E11179" w:rsidRDefault="00A14DCD" w:rsidP="00794828">
      <w:pPr>
        <w:numPr>
          <w:ilvl w:val="2"/>
          <w:numId w:val="18"/>
        </w:numPr>
        <w:tabs>
          <w:tab w:val="left" w:pos="1530"/>
        </w:tabs>
        <w:spacing w:after="12"/>
        <w:ind w:left="1080" w:hanging="360"/>
        <w:rPr>
          <w:szCs w:val="24"/>
        </w:rPr>
      </w:pPr>
      <w:r w:rsidRPr="00CA74F8">
        <w:rPr>
          <w:szCs w:val="24"/>
        </w:rPr>
        <w:t xml:space="preserve">Include columns capturing the average amount for the past three years for all line items listed in the </w:t>
      </w:r>
      <w:r w:rsidR="00F9671B">
        <w:rPr>
          <w:szCs w:val="24"/>
        </w:rPr>
        <w:t>P</w:t>
      </w:r>
      <w:r w:rsidRPr="00CA74F8">
        <w:rPr>
          <w:szCs w:val="24"/>
        </w:rPr>
        <w:t xml:space="preserve">ro </w:t>
      </w:r>
      <w:r w:rsidR="00F9671B">
        <w:rPr>
          <w:szCs w:val="24"/>
        </w:rPr>
        <w:t>F</w:t>
      </w:r>
      <w:r w:rsidRPr="00CA74F8">
        <w:rPr>
          <w:szCs w:val="24"/>
        </w:rPr>
        <w:t xml:space="preserve">orma. Provide explanations and/or supporting documentation for any major deviations of the historical average from the year 1 data entered on the </w:t>
      </w:r>
      <w:r w:rsidR="00F86518">
        <w:rPr>
          <w:szCs w:val="24"/>
        </w:rPr>
        <w:t>P</w:t>
      </w:r>
      <w:r w:rsidRPr="00CA74F8">
        <w:rPr>
          <w:szCs w:val="24"/>
        </w:rPr>
        <w:t xml:space="preserve">ro </w:t>
      </w:r>
      <w:r w:rsidR="00F86518">
        <w:rPr>
          <w:szCs w:val="24"/>
        </w:rPr>
        <w:t>F</w:t>
      </w:r>
      <w:r w:rsidRPr="00CA74F8">
        <w:rPr>
          <w:szCs w:val="24"/>
        </w:rPr>
        <w:t>orma</w:t>
      </w:r>
      <w:r w:rsidR="00AD131C">
        <w:rPr>
          <w:szCs w:val="24"/>
        </w:rPr>
        <w:t xml:space="preserve">. </w:t>
      </w:r>
    </w:p>
    <w:p w14:paraId="7F57C5DE" w14:textId="77777777" w:rsidR="00A14DCD" w:rsidRDefault="007806B4" w:rsidP="00794828">
      <w:pPr>
        <w:numPr>
          <w:ilvl w:val="2"/>
          <w:numId w:val="18"/>
        </w:numPr>
        <w:tabs>
          <w:tab w:val="left" w:pos="1530"/>
        </w:tabs>
        <w:spacing w:after="12"/>
        <w:ind w:left="1080" w:hanging="360"/>
        <w:rPr>
          <w:szCs w:val="24"/>
        </w:rPr>
      </w:pPr>
      <w:r>
        <w:rPr>
          <w:szCs w:val="24"/>
        </w:rPr>
        <w:t>Ensure the Pro Forma c</w:t>
      </w:r>
      <w:r w:rsidR="00A14DCD" w:rsidRPr="00E11179">
        <w:rPr>
          <w:szCs w:val="24"/>
        </w:rPr>
        <w:t>ompl</w:t>
      </w:r>
      <w:r>
        <w:rPr>
          <w:szCs w:val="24"/>
        </w:rPr>
        <w:t>ies</w:t>
      </w:r>
      <w:r w:rsidR="00A14DCD" w:rsidRPr="00E11179">
        <w:rPr>
          <w:szCs w:val="24"/>
        </w:rPr>
        <w:t xml:space="preserve"> with at least the following feasibility benchmarks</w:t>
      </w:r>
      <w:r w:rsidR="00C64031">
        <w:rPr>
          <w:szCs w:val="24"/>
        </w:rPr>
        <w:t xml:space="preserve"> unless otherwise approved by HUD</w:t>
      </w:r>
      <w:r w:rsidR="00A14DCD" w:rsidRPr="00E11179">
        <w:rPr>
          <w:szCs w:val="24"/>
        </w:rPr>
        <w:t>:</w:t>
      </w:r>
    </w:p>
    <w:p w14:paraId="7F57C5DF" w14:textId="77777777" w:rsidR="00A14DCD" w:rsidRPr="00CA74F8" w:rsidRDefault="00A14DCD" w:rsidP="009C78B9">
      <w:pPr>
        <w:spacing w:after="12"/>
        <w:ind w:left="1080"/>
        <w:rPr>
          <w:b/>
          <w:szCs w:val="24"/>
          <w:u w:val="single"/>
        </w:rPr>
      </w:pPr>
      <w:r>
        <w:rPr>
          <w:b/>
          <w:szCs w:val="24"/>
          <w:u w:val="single"/>
        </w:rPr>
        <w:t>Revenue:</w:t>
      </w:r>
    </w:p>
    <w:p w14:paraId="7F57C5E0" w14:textId="77777777" w:rsidR="00A14DCD" w:rsidRPr="00E11179" w:rsidRDefault="00A14DCD" w:rsidP="00794828">
      <w:pPr>
        <w:numPr>
          <w:ilvl w:val="0"/>
          <w:numId w:val="20"/>
        </w:numPr>
        <w:spacing w:after="12"/>
        <w:ind w:left="2160"/>
        <w:contextualSpacing/>
        <w:rPr>
          <w:szCs w:val="24"/>
        </w:rPr>
      </w:pPr>
      <w:r w:rsidRPr="00E11179">
        <w:rPr>
          <w:szCs w:val="24"/>
        </w:rPr>
        <w:t>Rents shall not exceed the amounts permitted under program rules;</w:t>
      </w:r>
    </w:p>
    <w:p w14:paraId="7F57C5E1" w14:textId="64FA5A59" w:rsidR="00A14DCD" w:rsidRPr="00E11179" w:rsidRDefault="00A14DCD" w:rsidP="00794828">
      <w:pPr>
        <w:numPr>
          <w:ilvl w:val="0"/>
          <w:numId w:val="20"/>
        </w:numPr>
        <w:spacing w:after="12"/>
        <w:ind w:left="2160"/>
        <w:rPr>
          <w:szCs w:val="24"/>
        </w:rPr>
      </w:pPr>
      <w:r w:rsidRPr="00E11179">
        <w:rPr>
          <w:szCs w:val="24"/>
        </w:rPr>
        <w:t>All other sources of income must not exceed the average for the last three years (</w:t>
      </w:r>
      <w:r>
        <w:rPr>
          <w:szCs w:val="24"/>
        </w:rPr>
        <w:t>do</w:t>
      </w:r>
      <w:r w:rsidRPr="00E11179">
        <w:rPr>
          <w:szCs w:val="24"/>
        </w:rPr>
        <w:t xml:space="preserve"> not include interest income on the </w:t>
      </w:r>
      <w:r w:rsidR="005C5FD8">
        <w:rPr>
          <w:szCs w:val="24"/>
        </w:rPr>
        <w:t>r</w:t>
      </w:r>
      <w:r w:rsidR="00987FF8">
        <w:rPr>
          <w:szCs w:val="24"/>
        </w:rPr>
        <w:t>eplacement</w:t>
      </w:r>
      <w:r w:rsidR="005C5FD8">
        <w:rPr>
          <w:szCs w:val="24"/>
        </w:rPr>
        <w:t xml:space="preserve"> reserve account</w:t>
      </w:r>
      <w:r w:rsidRPr="00E11179">
        <w:rPr>
          <w:szCs w:val="24"/>
        </w:rPr>
        <w:t>);</w:t>
      </w:r>
    </w:p>
    <w:p w14:paraId="7F57C5E2" w14:textId="77777777" w:rsidR="00A14DCD" w:rsidRPr="00E11179" w:rsidRDefault="00A14DCD" w:rsidP="00794828">
      <w:pPr>
        <w:numPr>
          <w:ilvl w:val="0"/>
          <w:numId w:val="20"/>
        </w:numPr>
        <w:spacing w:after="12"/>
        <w:ind w:left="2160"/>
        <w:rPr>
          <w:szCs w:val="24"/>
        </w:rPr>
      </w:pPr>
      <w:r w:rsidRPr="00E11179">
        <w:rPr>
          <w:szCs w:val="24"/>
        </w:rPr>
        <w:t>Vacancy loss shall be no less than the greater of the average over the past three years or 3 percent;</w:t>
      </w:r>
    </w:p>
    <w:p w14:paraId="7F57C5E3" w14:textId="77777777" w:rsidR="00A14DCD" w:rsidRDefault="00A14DCD" w:rsidP="00794828">
      <w:pPr>
        <w:numPr>
          <w:ilvl w:val="0"/>
          <w:numId w:val="20"/>
        </w:numPr>
        <w:spacing w:after="12"/>
        <w:ind w:left="2160"/>
        <w:rPr>
          <w:szCs w:val="24"/>
        </w:rPr>
      </w:pPr>
      <w:r w:rsidRPr="00E11179">
        <w:rPr>
          <w:szCs w:val="24"/>
        </w:rPr>
        <w:t>Allowance for bad debt should be not less than the greater of the average over the past three years or 2 percent;</w:t>
      </w:r>
    </w:p>
    <w:p w14:paraId="7F57C5E4" w14:textId="77777777" w:rsidR="00A14DCD" w:rsidRPr="00CA74F8" w:rsidRDefault="00A14DCD" w:rsidP="009C78B9">
      <w:pPr>
        <w:spacing w:after="12"/>
        <w:ind w:left="1080"/>
        <w:rPr>
          <w:b/>
          <w:szCs w:val="24"/>
          <w:u w:val="single"/>
        </w:rPr>
      </w:pPr>
      <w:r>
        <w:rPr>
          <w:b/>
          <w:szCs w:val="24"/>
          <w:u w:val="single"/>
        </w:rPr>
        <w:t>Expenses:</w:t>
      </w:r>
    </w:p>
    <w:p w14:paraId="7F57C5E5" w14:textId="77777777" w:rsidR="00A14DCD" w:rsidRPr="00E11179" w:rsidRDefault="00A14DCD" w:rsidP="00794828">
      <w:pPr>
        <w:numPr>
          <w:ilvl w:val="0"/>
          <w:numId w:val="22"/>
        </w:numPr>
        <w:spacing w:after="12"/>
        <w:ind w:left="2160"/>
        <w:rPr>
          <w:szCs w:val="24"/>
        </w:rPr>
      </w:pPr>
      <w:r w:rsidRPr="00E11179">
        <w:rPr>
          <w:szCs w:val="24"/>
        </w:rPr>
        <w:t>All other operating expenses shall be no less than 85 percent of the average for the last three years;</w:t>
      </w:r>
    </w:p>
    <w:p w14:paraId="7F57C5E7" w14:textId="5F905174" w:rsidR="00A14DCD" w:rsidRPr="00996CEC" w:rsidRDefault="00A14DCD" w:rsidP="00794828">
      <w:pPr>
        <w:numPr>
          <w:ilvl w:val="0"/>
          <w:numId w:val="22"/>
        </w:numPr>
        <w:spacing w:after="12"/>
        <w:ind w:left="2160"/>
        <w:rPr>
          <w:szCs w:val="24"/>
        </w:rPr>
      </w:pPr>
      <w:r w:rsidRPr="00E11179">
        <w:rPr>
          <w:szCs w:val="24"/>
        </w:rPr>
        <w:t xml:space="preserve">The </w:t>
      </w:r>
      <w:r>
        <w:rPr>
          <w:szCs w:val="24"/>
        </w:rPr>
        <w:t>A</w:t>
      </w:r>
      <w:r w:rsidR="00B32F04">
        <w:rPr>
          <w:szCs w:val="24"/>
        </w:rPr>
        <w:t>DRR</w:t>
      </w:r>
      <w:r w:rsidRPr="00E11179">
        <w:rPr>
          <w:szCs w:val="24"/>
        </w:rPr>
        <w:t xml:space="preserve"> </w:t>
      </w:r>
      <w:r w:rsidR="00F17071" w:rsidRPr="00F17071">
        <w:rPr>
          <w:szCs w:val="24"/>
        </w:rPr>
        <w:t xml:space="preserve">should be equal to that amount which, if deposited annually, will be sufficient to fund all capital needs, as identified in the CNA, arising during the first 20 years and otherwise not addressed upfront in either the rehabilitation or an initial deposit to the replacement reserve account. The PHA should use reasonable estimates </w:t>
      </w:r>
      <w:r w:rsidR="00E176EF">
        <w:rPr>
          <w:szCs w:val="24"/>
        </w:rPr>
        <w:t xml:space="preserve">for </w:t>
      </w:r>
      <w:r w:rsidR="00F17071" w:rsidRPr="00F17071">
        <w:rPr>
          <w:szCs w:val="24"/>
        </w:rPr>
        <w:t>inflation but in doing so the rate for escalating the increase in repair costs should not exceed the rate of interest on reserve deposits by more than 1%</w:t>
      </w:r>
      <w:r w:rsidR="0043258D">
        <w:rPr>
          <w:szCs w:val="24"/>
        </w:rPr>
        <w:t xml:space="preserve">. </w:t>
      </w:r>
      <w:r w:rsidR="00F17071" w:rsidRPr="00F17071">
        <w:rPr>
          <w:szCs w:val="24"/>
        </w:rPr>
        <w:t xml:space="preserve">HUD may consider alternative arrangements with respect to the </w:t>
      </w:r>
      <w:r w:rsidR="00E176EF">
        <w:rPr>
          <w:szCs w:val="24"/>
        </w:rPr>
        <w:t>I</w:t>
      </w:r>
      <w:r w:rsidR="00F17071" w:rsidRPr="00F17071">
        <w:rPr>
          <w:szCs w:val="24"/>
        </w:rPr>
        <w:t xml:space="preserve">nitial </w:t>
      </w:r>
      <w:r w:rsidR="00E176EF">
        <w:rPr>
          <w:szCs w:val="24"/>
        </w:rPr>
        <w:t>D</w:t>
      </w:r>
      <w:r w:rsidR="00F17071" w:rsidRPr="00F17071">
        <w:rPr>
          <w:szCs w:val="24"/>
        </w:rPr>
        <w:t xml:space="preserve">eposit to the </w:t>
      </w:r>
      <w:r w:rsidR="00E176EF">
        <w:rPr>
          <w:szCs w:val="24"/>
        </w:rPr>
        <w:t>R</w:t>
      </w:r>
      <w:r w:rsidR="00F17071" w:rsidRPr="00F17071">
        <w:rPr>
          <w:szCs w:val="24"/>
        </w:rPr>
        <w:t xml:space="preserve">eplacement </w:t>
      </w:r>
      <w:r w:rsidR="00E176EF">
        <w:rPr>
          <w:szCs w:val="24"/>
        </w:rPr>
        <w:t>R</w:t>
      </w:r>
      <w:r w:rsidR="00F17071" w:rsidRPr="00F17071">
        <w:rPr>
          <w:szCs w:val="24"/>
        </w:rPr>
        <w:t xml:space="preserve">eserve </w:t>
      </w:r>
      <w:r w:rsidR="00E176EF">
        <w:rPr>
          <w:szCs w:val="24"/>
        </w:rPr>
        <w:t xml:space="preserve">(IDRR) </w:t>
      </w:r>
      <w:r w:rsidR="00F17071" w:rsidRPr="00F17071">
        <w:rPr>
          <w:szCs w:val="24"/>
        </w:rPr>
        <w:t>if risks to the Covered Project can be adequately mitigated.</w:t>
      </w:r>
      <w:r w:rsidR="00996CEC">
        <w:rPr>
          <w:szCs w:val="24"/>
        </w:rPr>
        <w:t xml:space="preserve"> </w:t>
      </w:r>
      <w:r w:rsidRPr="00996CEC">
        <w:rPr>
          <w:szCs w:val="24"/>
        </w:rPr>
        <w:t>The ADRR must be sufficient to maintain a minimum balance at the end of each year during th</w:t>
      </w:r>
      <w:r w:rsidR="00446B22" w:rsidRPr="00996CEC">
        <w:rPr>
          <w:szCs w:val="24"/>
        </w:rPr>
        <w:t>e</w:t>
      </w:r>
      <w:r w:rsidRPr="00996CEC">
        <w:rPr>
          <w:szCs w:val="24"/>
        </w:rPr>
        <w:t xml:space="preserve"> </w:t>
      </w:r>
      <w:r w:rsidR="00BF3A11" w:rsidRPr="00996CEC">
        <w:rPr>
          <w:szCs w:val="24"/>
        </w:rPr>
        <w:t xml:space="preserve">initial </w:t>
      </w:r>
      <w:r w:rsidRPr="00996CEC">
        <w:rPr>
          <w:szCs w:val="24"/>
        </w:rPr>
        <w:t xml:space="preserve">20-year </w:t>
      </w:r>
      <w:r w:rsidR="00BF3A11" w:rsidRPr="00996CEC">
        <w:rPr>
          <w:szCs w:val="24"/>
        </w:rPr>
        <w:t xml:space="preserve">HAP Contract </w:t>
      </w:r>
      <w:r w:rsidR="00446B22" w:rsidRPr="00996CEC">
        <w:rPr>
          <w:szCs w:val="24"/>
        </w:rPr>
        <w:t>term</w:t>
      </w:r>
      <w:r w:rsidRPr="00996CEC">
        <w:rPr>
          <w:szCs w:val="24"/>
        </w:rPr>
        <w:t xml:space="preserve"> in accordance with the HUD MAP Guide Appendix 5g</w:t>
      </w:r>
      <w:r w:rsidR="00AE4AF6">
        <w:rPr>
          <w:szCs w:val="24"/>
        </w:rPr>
        <w:t>,</w:t>
      </w:r>
      <w:r w:rsidRPr="00996CEC">
        <w:rPr>
          <w:szCs w:val="24"/>
        </w:rPr>
        <w:t xml:space="preserve"> Section VII.C.3D, Minimum Balances</w:t>
      </w:r>
      <w:r w:rsidR="00F86518" w:rsidRPr="00996CEC">
        <w:rPr>
          <w:szCs w:val="24"/>
        </w:rPr>
        <w:t>; and</w:t>
      </w:r>
    </w:p>
    <w:p w14:paraId="7F57C5E8" w14:textId="77777777" w:rsidR="00A14DCD" w:rsidRPr="00C1197B" w:rsidRDefault="00A14DCD" w:rsidP="00794828">
      <w:pPr>
        <w:numPr>
          <w:ilvl w:val="0"/>
          <w:numId w:val="22"/>
        </w:numPr>
        <w:spacing w:after="12"/>
        <w:ind w:left="2160"/>
        <w:rPr>
          <w:szCs w:val="24"/>
        </w:rPr>
      </w:pPr>
      <w:r w:rsidRPr="00C1197B">
        <w:rPr>
          <w:szCs w:val="24"/>
        </w:rPr>
        <w:t xml:space="preserve">For non-leveraged transactions, the stabilized cash flow should not be less than $12 per unit monthly. For leveraged transactions, the debt-coverage ratio should not be less than 1.11 over a </w:t>
      </w:r>
      <w:r w:rsidR="006E6BD5" w:rsidRPr="00C1197B">
        <w:rPr>
          <w:szCs w:val="24"/>
        </w:rPr>
        <w:t>ten-year</w:t>
      </w:r>
      <w:r w:rsidRPr="00C1197B">
        <w:rPr>
          <w:szCs w:val="24"/>
        </w:rPr>
        <w:t xml:space="preserve"> period using 2% growth in revenue and 3% growth in expenses.</w:t>
      </w:r>
    </w:p>
    <w:p w14:paraId="7F57C5E9" w14:textId="77777777" w:rsidR="00A14DCD" w:rsidRPr="00AB0844" w:rsidRDefault="00A14DCD" w:rsidP="00A14DCD">
      <w:pPr>
        <w:spacing w:after="12"/>
        <w:ind w:left="360"/>
        <w:rPr>
          <w:szCs w:val="24"/>
        </w:rPr>
      </w:pPr>
    </w:p>
    <w:p w14:paraId="7F57C5EA" w14:textId="1A7C9DD4" w:rsidR="008520F1" w:rsidRDefault="008520F1" w:rsidP="00794828">
      <w:pPr>
        <w:numPr>
          <w:ilvl w:val="0"/>
          <w:numId w:val="18"/>
        </w:numPr>
        <w:spacing w:after="12"/>
        <w:ind w:left="360" w:hanging="360"/>
        <w:rPr>
          <w:szCs w:val="24"/>
        </w:rPr>
      </w:pPr>
      <w:r w:rsidRPr="008520F1">
        <w:rPr>
          <w:b/>
          <w:szCs w:val="24"/>
        </w:rPr>
        <w:t>Supportive Services</w:t>
      </w:r>
      <w:r w:rsidR="00317DDE">
        <w:rPr>
          <w:b/>
          <w:szCs w:val="24"/>
        </w:rPr>
        <w:t xml:space="preserve"> and Design</w:t>
      </w:r>
      <w:r w:rsidRPr="008520F1">
        <w:rPr>
          <w:b/>
          <w:szCs w:val="24"/>
        </w:rPr>
        <w:t>.</w:t>
      </w:r>
      <w:r w:rsidRPr="008520F1">
        <w:rPr>
          <w:szCs w:val="24"/>
        </w:rPr>
        <w:t xml:space="preserve"> Applicants must describe how the proposed supportive services meet the identified needs of the anticipated residents, </w:t>
      </w:r>
      <w:r w:rsidR="00BF3A11">
        <w:rPr>
          <w:szCs w:val="24"/>
        </w:rPr>
        <w:t xml:space="preserve">both </w:t>
      </w:r>
      <w:r w:rsidRPr="008520F1">
        <w:rPr>
          <w:szCs w:val="24"/>
        </w:rPr>
        <w:t>initially and as they age, and how the identified supportive services will be provided on a consistent, long-term basis to support residents</w:t>
      </w:r>
      <w:r w:rsidR="00317DDE">
        <w:rPr>
          <w:szCs w:val="24"/>
        </w:rPr>
        <w:t xml:space="preserve">. </w:t>
      </w:r>
      <w:r w:rsidR="00317DDE" w:rsidRPr="00317DDE">
        <w:rPr>
          <w:szCs w:val="24"/>
        </w:rPr>
        <w:t>The conversion plan also must discuss how current property design features and/or modifications planned in conjunction with the conversion provide a physical living environment suitable for meeting the needs of elderly residents and facilitating prolonged independent living. Relevant building design features may include, but are not limited to</w:t>
      </w:r>
      <w:r w:rsidR="00AE4AF6">
        <w:rPr>
          <w:szCs w:val="24"/>
        </w:rPr>
        <w:t>,</w:t>
      </w:r>
      <w:r w:rsidR="00317DDE" w:rsidRPr="00317DDE">
        <w:rPr>
          <w:szCs w:val="24"/>
        </w:rPr>
        <w:t xml:space="preserve"> those focused on fall prevention and visitability, universal design, and electronic communication mechanisms</w:t>
      </w:r>
      <w:r>
        <w:rPr>
          <w:szCs w:val="24"/>
        </w:rPr>
        <w:t>.</w:t>
      </w:r>
    </w:p>
    <w:p w14:paraId="7F57C5EB" w14:textId="77777777" w:rsidR="008520F1" w:rsidRPr="008520F1" w:rsidRDefault="008520F1" w:rsidP="008520F1">
      <w:pPr>
        <w:spacing w:after="12"/>
        <w:ind w:left="360"/>
        <w:rPr>
          <w:szCs w:val="24"/>
        </w:rPr>
      </w:pPr>
    </w:p>
    <w:p w14:paraId="7F57C5EC" w14:textId="51E9F177" w:rsidR="00A14DCD" w:rsidRPr="00E11179" w:rsidRDefault="00A14DCD" w:rsidP="00794828">
      <w:pPr>
        <w:numPr>
          <w:ilvl w:val="0"/>
          <w:numId w:val="18"/>
        </w:numPr>
        <w:spacing w:after="12"/>
        <w:ind w:left="360" w:hanging="360"/>
        <w:rPr>
          <w:szCs w:val="24"/>
        </w:rPr>
      </w:pPr>
      <w:r w:rsidRPr="00E11179">
        <w:rPr>
          <w:b/>
          <w:szCs w:val="24"/>
        </w:rPr>
        <w:t>Market Study</w:t>
      </w:r>
      <w:r w:rsidR="00AD131C">
        <w:rPr>
          <w:b/>
          <w:szCs w:val="24"/>
        </w:rPr>
        <w:t xml:space="preserve">. </w:t>
      </w:r>
      <w:r w:rsidRPr="00E11179">
        <w:rPr>
          <w:szCs w:val="24"/>
        </w:rPr>
        <w:t>A market study</w:t>
      </w:r>
      <w:r w:rsidR="00EA2D3C">
        <w:rPr>
          <w:szCs w:val="24"/>
        </w:rPr>
        <w:t xml:space="preserve"> or net demand analysis may be required if </w:t>
      </w:r>
      <w:r w:rsidRPr="00E11179">
        <w:rPr>
          <w:szCs w:val="24"/>
        </w:rPr>
        <w:t>the project is currently experiencing a high vacancy rate</w:t>
      </w:r>
      <w:r w:rsidR="00E176EF">
        <w:rPr>
          <w:szCs w:val="24"/>
        </w:rPr>
        <w:t xml:space="preserve"> </w:t>
      </w:r>
      <w:r w:rsidRPr="00E11179">
        <w:rPr>
          <w:szCs w:val="24"/>
        </w:rPr>
        <w:t xml:space="preserve">or </w:t>
      </w:r>
      <w:r>
        <w:rPr>
          <w:szCs w:val="24"/>
        </w:rPr>
        <w:t>i</w:t>
      </w:r>
      <w:r w:rsidR="00EA2D3C">
        <w:rPr>
          <w:szCs w:val="24"/>
        </w:rPr>
        <w:t xml:space="preserve">f the </w:t>
      </w:r>
      <w:r w:rsidR="000078CE">
        <w:rPr>
          <w:szCs w:val="24"/>
        </w:rPr>
        <w:t>Project Owner</w:t>
      </w:r>
      <w:r w:rsidR="00EA2D3C">
        <w:rPr>
          <w:szCs w:val="24"/>
        </w:rPr>
        <w:t xml:space="preserve"> is requesting a reconfiguration of units</w:t>
      </w:r>
      <w:r w:rsidR="00AD131C">
        <w:rPr>
          <w:szCs w:val="24"/>
        </w:rPr>
        <w:t xml:space="preserve">. </w:t>
      </w:r>
      <w:r w:rsidR="00EA2D3C">
        <w:rPr>
          <w:szCs w:val="24"/>
        </w:rPr>
        <w:t xml:space="preserve">The </w:t>
      </w:r>
      <w:r w:rsidR="000078CE">
        <w:rPr>
          <w:szCs w:val="24"/>
        </w:rPr>
        <w:t>Project Owner</w:t>
      </w:r>
      <w:r w:rsidR="00EA2D3C">
        <w:rPr>
          <w:szCs w:val="24"/>
        </w:rPr>
        <w:t xml:space="preserve"> should consult with the Transaction Manager to determine if a market study is necessary before procuring one.</w:t>
      </w:r>
    </w:p>
    <w:p w14:paraId="7F57C5ED" w14:textId="77777777" w:rsidR="00A14DCD" w:rsidRPr="00E11179" w:rsidRDefault="00A14DCD" w:rsidP="00A14DCD">
      <w:pPr>
        <w:spacing w:after="12"/>
        <w:rPr>
          <w:szCs w:val="24"/>
        </w:rPr>
      </w:pPr>
    </w:p>
    <w:p w14:paraId="640466DE" w14:textId="349575C4" w:rsidR="00F57410" w:rsidRDefault="00A14DCD" w:rsidP="00794828">
      <w:pPr>
        <w:numPr>
          <w:ilvl w:val="0"/>
          <w:numId w:val="18"/>
        </w:numPr>
        <w:spacing w:after="12"/>
        <w:ind w:left="360" w:hanging="360"/>
        <w:rPr>
          <w:rStyle w:val="CommentReference"/>
          <w:sz w:val="24"/>
          <w:szCs w:val="24"/>
        </w:rPr>
      </w:pPr>
      <w:r w:rsidRPr="00E11179">
        <w:rPr>
          <w:b/>
          <w:szCs w:val="24"/>
        </w:rPr>
        <w:t>Certification of Compliance with Site and Neighborhood Standards.</w:t>
      </w:r>
      <w:r w:rsidRPr="00E11179">
        <w:rPr>
          <w:szCs w:val="24"/>
        </w:rPr>
        <w:t xml:space="preserve"> The </w:t>
      </w:r>
      <w:r w:rsidR="000078CE">
        <w:rPr>
          <w:szCs w:val="24"/>
        </w:rPr>
        <w:t>Project Owner</w:t>
      </w:r>
      <w:r w:rsidRPr="00E11179">
        <w:rPr>
          <w:szCs w:val="24"/>
        </w:rPr>
        <w:t xml:space="preserve"> (for PBRA) or the </w:t>
      </w:r>
      <w:r w:rsidR="00446B22">
        <w:rPr>
          <w:szCs w:val="24"/>
        </w:rPr>
        <w:t>PHA</w:t>
      </w:r>
      <w:r w:rsidRPr="00E11179">
        <w:rPr>
          <w:szCs w:val="24"/>
        </w:rPr>
        <w:t xml:space="preserve"> (for PBV) shall </w:t>
      </w:r>
      <w:r w:rsidR="006E3DCB">
        <w:rPr>
          <w:szCs w:val="24"/>
        </w:rPr>
        <w:t xml:space="preserve">evaluate and </w:t>
      </w:r>
      <w:r w:rsidRPr="00E11179">
        <w:rPr>
          <w:szCs w:val="24"/>
        </w:rPr>
        <w:t xml:space="preserve">include a certification that the site complies with applicable Site and Neighborhood Standards (see Section </w:t>
      </w:r>
      <w:r w:rsidR="00446B22">
        <w:rPr>
          <w:szCs w:val="24"/>
        </w:rPr>
        <w:t>4</w:t>
      </w:r>
      <w:r w:rsidRPr="00E11179">
        <w:rPr>
          <w:szCs w:val="24"/>
        </w:rPr>
        <w:t>.4.</w:t>
      </w:r>
      <w:r w:rsidR="00C152DE">
        <w:rPr>
          <w:szCs w:val="24"/>
        </w:rPr>
        <w:t>O</w:t>
      </w:r>
      <w:r w:rsidR="00C1197B">
        <w:rPr>
          <w:szCs w:val="24"/>
        </w:rPr>
        <w:t>.</w:t>
      </w:r>
      <w:r w:rsidRPr="00E11179">
        <w:rPr>
          <w:szCs w:val="24"/>
        </w:rPr>
        <w:t>).</w:t>
      </w:r>
    </w:p>
    <w:p w14:paraId="37785F8D" w14:textId="77777777" w:rsidR="00F57410" w:rsidRPr="00F57410" w:rsidRDefault="00F57410" w:rsidP="00F57410">
      <w:pPr>
        <w:spacing w:after="12"/>
        <w:rPr>
          <w:szCs w:val="24"/>
        </w:rPr>
      </w:pPr>
    </w:p>
    <w:p w14:paraId="4B847C45" w14:textId="3E9C6BCA" w:rsidR="00B2638B" w:rsidRPr="00F57410" w:rsidRDefault="00A14DCD" w:rsidP="00794828">
      <w:pPr>
        <w:numPr>
          <w:ilvl w:val="0"/>
          <w:numId w:val="18"/>
        </w:numPr>
        <w:spacing w:after="12"/>
        <w:ind w:left="360" w:hanging="360"/>
        <w:rPr>
          <w:szCs w:val="24"/>
        </w:rPr>
      </w:pPr>
      <w:r w:rsidRPr="005F5675">
        <w:rPr>
          <w:b/>
          <w:szCs w:val="24"/>
        </w:rPr>
        <w:t>Affirmative Fair Housing Marketing Plan.</w:t>
      </w:r>
      <w:r w:rsidRPr="005F5675">
        <w:rPr>
          <w:szCs w:val="24"/>
        </w:rPr>
        <w:t xml:space="preserve"> For PBRA conversions, </w:t>
      </w:r>
      <w:r w:rsidR="00B2638B" w:rsidRPr="00F57410">
        <w:rPr>
          <w:szCs w:val="24"/>
        </w:rPr>
        <w:t>evidence that a completed AFHMP (</w:t>
      </w:r>
      <w:r w:rsidR="006E3DCB">
        <w:rPr>
          <w:szCs w:val="24"/>
        </w:rPr>
        <w:t xml:space="preserve">Form </w:t>
      </w:r>
      <w:r w:rsidR="00B2638B" w:rsidRPr="00F57410">
        <w:rPr>
          <w:szCs w:val="24"/>
        </w:rPr>
        <w:t>HUD</w:t>
      </w:r>
      <w:r w:rsidR="00AE4AF6">
        <w:rPr>
          <w:szCs w:val="24"/>
        </w:rPr>
        <w:t>-</w:t>
      </w:r>
      <w:r w:rsidR="00B2638B" w:rsidRPr="00F57410">
        <w:rPr>
          <w:szCs w:val="24"/>
        </w:rPr>
        <w:t xml:space="preserve">935.2A) has been submitted for approval to the local Multifamily Regional Center. Typically, the management agent or the entity responsible for marketing (if different) is responsible for completing and submitting the AFHMP. If a Project Owner plans to adopt any local or residency preferences, the Project Owner must submit its Tenant Selection Plan along with the AFHMP (see HUD Handbook 4350.3, page 4-4) for review. The AFHMP may not conflict with any </w:t>
      </w:r>
      <w:r w:rsidR="00A75B3D">
        <w:rPr>
          <w:szCs w:val="24"/>
        </w:rPr>
        <w:t>special condition arising from the RAD conversion</w:t>
      </w:r>
      <w:r w:rsidR="00B2638B" w:rsidRPr="00F57410">
        <w:rPr>
          <w:szCs w:val="24"/>
        </w:rPr>
        <w:t xml:space="preserve"> or provision in </w:t>
      </w:r>
      <w:r w:rsidR="006F78EB">
        <w:rPr>
          <w:szCs w:val="24"/>
        </w:rPr>
        <w:t>a remedial order or agreement. </w:t>
      </w:r>
      <w:r w:rsidR="00B2638B" w:rsidRPr="00F57410">
        <w:rPr>
          <w:szCs w:val="24"/>
        </w:rPr>
        <w:t xml:space="preserve">Each Covered Project must have a HUD-approved AFHMP prior to closing. </w:t>
      </w:r>
    </w:p>
    <w:p w14:paraId="04FCB3DB" w14:textId="77777777" w:rsidR="00F57410" w:rsidRDefault="00F57410" w:rsidP="00F57410">
      <w:pPr>
        <w:spacing w:after="12"/>
        <w:ind w:left="360"/>
        <w:rPr>
          <w:szCs w:val="24"/>
        </w:rPr>
      </w:pPr>
    </w:p>
    <w:p w14:paraId="7F57C5F1" w14:textId="25197A5C" w:rsidR="00A14DCD" w:rsidRPr="00B2638B" w:rsidRDefault="00B2638B" w:rsidP="00F57410">
      <w:pPr>
        <w:spacing w:after="12"/>
        <w:ind w:left="360"/>
        <w:rPr>
          <w:color w:val="000000"/>
        </w:rPr>
      </w:pPr>
      <w:r w:rsidRPr="00F57410">
        <w:rPr>
          <w:szCs w:val="24"/>
        </w:rPr>
        <w:t>The purpose of affirmative marketing is to ensure that individuals of similar income levels in the same housing market area have a like range of housing choices available to them regardless of their race, color, national origin, religion, sex, disability, or familial status</w:t>
      </w:r>
      <w:r w:rsidR="0043258D">
        <w:rPr>
          <w:szCs w:val="24"/>
        </w:rPr>
        <w:t xml:space="preserve">. </w:t>
      </w:r>
      <w:r w:rsidR="00886B32" w:rsidRPr="005F5675">
        <w:rPr>
          <w:szCs w:val="24"/>
        </w:rPr>
        <w:t xml:space="preserve"> </w:t>
      </w:r>
      <w:bookmarkEnd w:id="229"/>
      <w:bookmarkEnd w:id="230"/>
      <w:bookmarkEnd w:id="231"/>
      <w:bookmarkEnd w:id="232"/>
      <w:bookmarkEnd w:id="233"/>
    </w:p>
    <w:sectPr w:rsidR="00A14DCD" w:rsidRPr="00B2638B" w:rsidSect="00942B92">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58B36" w14:textId="77777777" w:rsidR="003778F6" w:rsidRDefault="003778F6" w:rsidP="00A14DCD">
      <w:pPr>
        <w:spacing w:after="0" w:line="240" w:lineRule="auto"/>
      </w:pPr>
      <w:r>
        <w:separator/>
      </w:r>
    </w:p>
  </w:endnote>
  <w:endnote w:type="continuationSeparator" w:id="0">
    <w:p w14:paraId="12076FAF" w14:textId="77777777" w:rsidR="003778F6" w:rsidRDefault="003778F6" w:rsidP="00A14DCD">
      <w:pPr>
        <w:spacing w:after="0" w:line="240" w:lineRule="auto"/>
      </w:pPr>
      <w:r>
        <w:continuationSeparator/>
      </w:r>
    </w:p>
  </w:endnote>
  <w:endnote w:type="continuationNotice" w:id="1">
    <w:p w14:paraId="35F8FB15" w14:textId="77777777" w:rsidR="003778F6" w:rsidRDefault="003778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257151"/>
      <w:docPartObj>
        <w:docPartGallery w:val="Page Numbers (Bottom of Page)"/>
        <w:docPartUnique/>
      </w:docPartObj>
    </w:sdtPr>
    <w:sdtEndPr>
      <w:rPr>
        <w:noProof/>
      </w:rPr>
    </w:sdtEndPr>
    <w:sdtContent>
      <w:p w14:paraId="7F57C5FB" w14:textId="73143094" w:rsidR="00053895" w:rsidRDefault="00053895">
        <w:pPr>
          <w:pStyle w:val="Footer"/>
          <w:jc w:val="right"/>
        </w:pPr>
        <w:r>
          <w:fldChar w:fldCharType="begin"/>
        </w:r>
        <w:r>
          <w:instrText xml:space="preserve"> PAGE   \* MERGEFORMAT </w:instrText>
        </w:r>
        <w:r>
          <w:fldChar w:fldCharType="separate"/>
        </w:r>
        <w:r w:rsidR="00471F62">
          <w:rPr>
            <w:noProof/>
          </w:rPr>
          <w:t>1</w:t>
        </w:r>
        <w:r>
          <w:rPr>
            <w:noProof/>
          </w:rPr>
          <w:fldChar w:fldCharType="end"/>
        </w:r>
      </w:p>
    </w:sdtContent>
  </w:sdt>
  <w:p w14:paraId="7F57C5FC" w14:textId="77777777" w:rsidR="00053895" w:rsidRDefault="00053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48B9B" w14:textId="77777777" w:rsidR="003778F6" w:rsidRDefault="003778F6" w:rsidP="00A14DCD">
      <w:pPr>
        <w:spacing w:after="0" w:line="240" w:lineRule="auto"/>
      </w:pPr>
      <w:r>
        <w:separator/>
      </w:r>
    </w:p>
  </w:footnote>
  <w:footnote w:type="continuationSeparator" w:id="0">
    <w:p w14:paraId="2435D9ED" w14:textId="77777777" w:rsidR="003778F6" w:rsidRDefault="003778F6" w:rsidP="00A14DCD">
      <w:pPr>
        <w:spacing w:after="0" w:line="240" w:lineRule="auto"/>
      </w:pPr>
      <w:r>
        <w:continuationSeparator/>
      </w:r>
    </w:p>
  </w:footnote>
  <w:footnote w:type="continuationNotice" w:id="1">
    <w:p w14:paraId="3BABE54C" w14:textId="77777777" w:rsidR="003778F6" w:rsidRDefault="003778F6">
      <w:pPr>
        <w:spacing w:after="0" w:line="240" w:lineRule="auto"/>
      </w:pPr>
    </w:p>
  </w:footnote>
  <w:footnote w:id="2">
    <w:p w14:paraId="1B7B738A" w14:textId="70F781A7" w:rsidR="00053895" w:rsidRPr="00CC6247" w:rsidRDefault="00053895">
      <w:pPr>
        <w:pStyle w:val="FootnoteText"/>
        <w:rPr>
          <w:rFonts w:ascii="Times New Roman" w:hAnsi="Times New Roman"/>
        </w:rPr>
      </w:pPr>
      <w:r w:rsidRPr="00CC6247">
        <w:rPr>
          <w:rStyle w:val="FootnoteReference"/>
          <w:rFonts w:ascii="Times New Roman" w:hAnsi="Times New Roman"/>
        </w:rPr>
        <w:footnoteRef/>
      </w:r>
      <w:r w:rsidRPr="00CC6247">
        <w:rPr>
          <w:rFonts w:ascii="Times New Roman" w:hAnsi="Times New Roman"/>
        </w:rPr>
        <w:t xml:space="preserve"> See Notice PIH-2017-20</w:t>
      </w:r>
    </w:p>
  </w:footnote>
  <w:footnote w:id="3">
    <w:p w14:paraId="4130BF0F" w14:textId="0D8CCEAB" w:rsidR="00053895" w:rsidRPr="00CC6247" w:rsidRDefault="00053895">
      <w:pPr>
        <w:pStyle w:val="FootnoteText"/>
        <w:rPr>
          <w:rFonts w:ascii="Times New Roman" w:hAnsi="Times New Roman"/>
        </w:rPr>
      </w:pPr>
      <w:r w:rsidRPr="00CC6247">
        <w:rPr>
          <w:rStyle w:val="FootnoteReference"/>
          <w:rFonts w:ascii="Times New Roman" w:hAnsi="Times New Roman"/>
        </w:rPr>
        <w:footnoteRef/>
      </w:r>
      <w:r w:rsidRPr="00CC6247">
        <w:rPr>
          <w:rFonts w:ascii="Times New Roman" w:hAnsi="Times New Roman"/>
        </w:rPr>
        <w:t xml:space="preserve"> A Service Coordinator is a social service staff person hired, contracted, or retained by the assisted housing owner or its management company, who assists residents to secure the supportive services necessary for the elderly to live independently and age in place.</w:t>
      </w:r>
    </w:p>
  </w:footnote>
  <w:footnote w:id="4">
    <w:p w14:paraId="7F57C5FF" w14:textId="77777777" w:rsidR="00053895" w:rsidRPr="00793606" w:rsidRDefault="00053895" w:rsidP="00A14DCD">
      <w:pPr>
        <w:pStyle w:val="FootnoteText"/>
        <w:rPr>
          <w:rFonts w:ascii="Times New Roman" w:hAnsi="Times New Roman"/>
        </w:rPr>
      </w:pPr>
      <w:r w:rsidRPr="00793606">
        <w:rPr>
          <w:rStyle w:val="FootnoteReference"/>
          <w:rFonts w:ascii="Times New Roman" w:hAnsi="Times New Roman"/>
        </w:rPr>
        <w:footnoteRef/>
      </w:r>
      <w:r w:rsidRPr="00793606">
        <w:rPr>
          <w:rFonts w:ascii="Times New Roman" w:hAnsi="Times New Roman"/>
        </w:rPr>
        <w:t xml:space="preserve">  For Energy Star®, see </w:t>
      </w:r>
      <w:hyperlink r:id="rId1" w:history="1">
        <w:r w:rsidRPr="00793606">
          <w:rPr>
            <w:rStyle w:val="Hyperlink"/>
            <w:rFonts w:ascii="Times New Roman" w:hAnsi="Times New Roman"/>
          </w:rPr>
          <w:t>http://www.energystar.gov/</w:t>
        </w:r>
      </w:hyperlink>
      <w:r w:rsidRPr="00793606">
        <w:rPr>
          <w:rFonts w:ascii="Times New Roman" w:hAnsi="Times New Roman"/>
        </w:rPr>
        <w:t xml:space="preserve">. For WaterSense®, see </w:t>
      </w:r>
      <w:hyperlink r:id="rId2" w:history="1">
        <w:r w:rsidRPr="00793606">
          <w:rPr>
            <w:rStyle w:val="Hyperlink"/>
            <w:rFonts w:ascii="Times New Roman" w:hAnsi="Times New Roman"/>
          </w:rPr>
          <w:t>http://www.epa.gov/watersense/</w:t>
        </w:r>
      </w:hyperlink>
      <w:r w:rsidRPr="00793606">
        <w:rPr>
          <w:rFonts w:ascii="Times New Roman" w:hAnsi="Times New Roman"/>
        </w:rPr>
        <w:t xml:space="preserve">. For FEMP, see </w:t>
      </w:r>
      <w:hyperlink r:id="rId3" w:history="1">
        <w:r w:rsidRPr="00533C35">
          <w:rPr>
            <w:rStyle w:val="Hyperlink"/>
            <w:rFonts w:ascii="Times New Roman" w:hAnsi="Times New Roman"/>
          </w:rPr>
          <w:t>http://www1.eere.energy.gov/femp</w:t>
        </w:r>
      </w:hyperlink>
      <w:r w:rsidRPr="00793606">
        <w:rPr>
          <w:rFonts w:ascii="Times New Roman" w:hAnsi="Times New Roman"/>
        </w:rPr>
        <w:t>.</w:t>
      </w:r>
    </w:p>
  </w:footnote>
  <w:footnote w:id="5">
    <w:p w14:paraId="7F57C600" w14:textId="707278A3" w:rsidR="00053895" w:rsidRPr="0064217D" w:rsidRDefault="00053895" w:rsidP="00A14DCD">
      <w:pPr>
        <w:pStyle w:val="FootnoteText"/>
        <w:rPr>
          <w:rFonts w:ascii="Times New Roman" w:hAnsi="Times New Roman"/>
        </w:rPr>
      </w:pPr>
      <w:r w:rsidRPr="0064217D">
        <w:rPr>
          <w:rStyle w:val="FootnoteReference"/>
          <w:rFonts w:ascii="Times New Roman" w:hAnsi="Times New Roman"/>
        </w:rPr>
        <w:footnoteRef/>
      </w:r>
      <w:r w:rsidRPr="0064217D">
        <w:rPr>
          <w:rFonts w:ascii="Times New Roman" w:hAnsi="Times New Roman"/>
        </w:rPr>
        <w:t xml:space="preserve"> </w:t>
      </w:r>
      <w:r w:rsidRPr="0064217D">
        <w:rPr>
          <w:rFonts w:ascii="Times New Roman" w:hAnsi="Times New Roman"/>
          <w:color w:val="000000"/>
        </w:rPr>
        <w:t xml:space="preserve">The analysis can be found in Section VIII B.1 of </w:t>
      </w:r>
      <w:r>
        <w:rPr>
          <w:rFonts w:ascii="Times New Roman" w:hAnsi="Times New Roman"/>
          <w:color w:val="000000"/>
        </w:rPr>
        <w:t xml:space="preserve">Notice </w:t>
      </w:r>
      <w:r w:rsidRPr="0064217D">
        <w:rPr>
          <w:rFonts w:ascii="Times New Roman" w:hAnsi="Times New Roman"/>
          <w:color w:val="000000"/>
        </w:rPr>
        <w:t>H-2015-03</w:t>
      </w:r>
      <w:r>
        <w:rPr>
          <w:rFonts w:ascii="Times New Roman" w:hAnsi="Times New Roman"/>
          <w:color w:val="000000"/>
        </w:rPr>
        <w:t>,</w:t>
      </w:r>
      <w:r w:rsidRPr="0064217D">
        <w:rPr>
          <w:rFonts w:ascii="Times New Roman" w:hAnsi="Times New Roman"/>
          <w:color w:val="000000"/>
        </w:rPr>
        <w:t xml:space="preserve"> </w:t>
      </w:r>
      <w:r>
        <w:rPr>
          <w:rFonts w:ascii="Times New Roman" w:hAnsi="Times New Roman"/>
          <w:color w:val="000000"/>
        </w:rPr>
        <w:t>“</w:t>
      </w:r>
      <w:r w:rsidRPr="0064217D">
        <w:rPr>
          <w:rFonts w:ascii="Times New Roman" w:hAnsi="Times New Roman"/>
          <w:color w:val="000000"/>
        </w:rPr>
        <w:t xml:space="preserve">Transferring Budget Authority of Project-Based Section 8 Housing Assistance Payments Contract under Section 8(bb)(1) of the United States Housing Act.” A copy of the criteria is available at </w:t>
      </w:r>
      <w:hyperlink r:id="rId4" w:history="1">
        <w:r w:rsidRPr="0064217D">
          <w:rPr>
            <w:rStyle w:val="Hyperlink"/>
            <w:rFonts w:ascii="Times New Roman" w:hAnsi="Times New Roman"/>
          </w:rPr>
          <w:t>www.hud.gov/rad</w:t>
        </w:r>
      </w:hyperlink>
      <w:r w:rsidRPr="0064217D">
        <w:rPr>
          <w:rFonts w:ascii="Times New Roman" w:hAnsi="Times New Roman"/>
          <w:color w:val="000000"/>
        </w:rPr>
        <w:t xml:space="preserve">. </w:t>
      </w:r>
      <w:r w:rsidRPr="0087796A">
        <w:rPr>
          <w:rFonts w:ascii="Times New Roman" w:hAnsi="Times New Roman"/>
          <w:color w:val="000000"/>
        </w:rPr>
        <w:t>At a minimum, projects that are located in neighborhoods that meet the 8(bb) criteria</w:t>
      </w:r>
      <w:r>
        <w:rPr>
          <w:rFonts w:ascii="Times New Roman" w:hAnsi="Times New Roman"/>
          <w:color w:val="000000"/>
        </w:rPr>
        <w:t xml:space="preserve"> satisfy</w:t>
      </w:r>
      <w:r w:rsidRPr="0064217D">
        <w:rPr>
          <w:rFonts w:ascii="Times New Roman" w:hAnsi="Times New Roman"/>
          <w:color w:val="000000"/>
        </w:rPr>
        <w:t xml:space="preserve"> the requirement under this Notice that transfers not occur to neighborhoods of concentrated poverty. HUD may modify these criteria as appropriate to fit the purposes of RAD and will post the applicable criteria at </w:t>
      </w:r>
      <w:hyperlink r:id="rId5" w:history="1">
        <w:r w:rsidRPr="0064217D">
          <w:rPr>
            <w:rStyle w:val="Hyperlink"/>
            <w:rFonts w:ascii="Times New Roman" w:hAnsi="Times New Roman"/>
            <w:color w:val="0563C1"/>
          </w:rPr>
          <w:t>www.hud.gov/rad</w:t>
        </w:r>
      </w:hyperlink>
      <w:r>
        <w:rPr>
          <w:rFonts w:ascii="Times New Roman" w:hAnsi="Times New Roman"/>
          <w:color w:val="000000"/>
        </w:rPr>
        <w:t xml:space="preserve">. </w:t>
      </w:r>
    </w:p>
  </w:footnote>
  <w:footnote w:id="6">
    <w:p w14:paraId="7F57C601" w14:textId="4E7E2C12" w:rsidR="00053895" w:rsidRPr="0064217D" w:rsidRDefault="00053895" w:rsidP="00A14DCD">
      <w:pPr>
        <w:pStyle w:val="FootnoteText"/>
        <w:rPr>
          <w:rFonts w:ascii="Times New Roman" w:hAnsi="Times New Roman"/>
        </w:rPr>
      </w:pPr>
      <w:r w:rsidRPr="0064217D">
        <w:rPr>
          <w:rStyle w:val="FootnoteReference"/>
          <w:rFonts w:ascii="Times New Roman" w:hAnsi="Times New Roman"/>
        </w:rPr>
        <w:footnoteRef/>
      </w:r>
      <w:r w:rsidRPr="0064217D">
        <w:rPr>
          <w:rFonts w:ascii="Times New Roman" w:hAnsi="Times New Roman"/>
        </w:rPr>
        <w:t xml:space="preserve"> </w:t>
      </w:r>
      <w:r>
        <w:rPr>
          <w:rFonts w:ascii="Times New Roman" w:hAnsi="Times New Roman"/>
        </w:rPr>
        <w:t>For example, a</w:t>
      </w:r>
      <w:r w:rsidRPr="0064217D">
        <w:rPr>
          <w:rFonts w:ascii="Times New Roman" w:hAnsi="Times New Roman"/>
        </w:rPr>
        <w:t xml:space="preserve">ny transfers of assistance must comply with requirements detailed in this Notice on Site and Neighborhood Standards (see Section 2.4G), Changes in Unit </w:t>
      </w:r>
      <w:r>
        <w:rPr>
          <w:rFonts w:ascii="Times New Roman" w:hAnsi="Times New Roman"/>
        </w:rPr>
        <w:t>C</w:t>
      </w:r>
      <w:r w:rsidRPr="0064217D">
        <w:rPr>
          <w:rFonts w:ascii="Times New Roman" w:hAnsi="Times New Roman"/>
        </w:rPr>
        <w:t xml:space="preserve">onfiguration (see Section 2.4H), and Accessibility </w:t>
      </w:r>
      <w:r>
        <w:rPr>
          <w:rFonts w:ascii="Times New Roman" w:hAnsi="Times New Roman"/>
        </w:rPr>
        <w:t>R</w:t>
      </w:r>
      <w:r w:rsidRPr="0064217D">
        <w:rPr>
          <w:rFonts w:ascii="Times New Roman" w:hAnsi="Times New Roman"/>
        </w:rPr>
        <w:t xml:space="preserve">equirements (see </w:t>
      </w:r>
      <w:r>
        <w:rPr>
          <w:rFonts w:ascii="Times New Roman" w:hAnsi="Times New Roman"/>
        </w:rPr>
        <w:t xml:space="preserve">Section </w:t>
      </w:r>
      <w:r w:rsidRPr="0064217D">
        <w:rPr>
          <w:rFonts w:ascii="Times New Roman" w:hAnsi="Times New Roman"/>
        </w:rPr>
        <w:t>2.4F). For PBV conversions, PHAs will be responsible for this determination.</w:t>
      </w:r>
    </w:p>
  </w:footnote>
  <w:footnote w:id="7">
    <w:p w14:paraId="7F57C602" w14:textId="63BEC19E" w:rsidR="00053895" w:rsidRPr="00FA10F7" w:rsidRDefault="00053895" w:rsidP="00A14DCD">
      <w:pPr>
        <w:pStyle w:val="FootnoteText"/>
        <w:rPr>
          <w:rFonts w:ascii="Times New Roman" w:hAnsi="Times New Roman"/>
        </w:rPr>
      </w:pPr>
      <w:r w:rsidRPr="0064217D">
        <w:rPr>
          <w:rStyle w:val="FootnoteReference"/>
          <w:rFonts w:ascii="Times New Roman" w:hAnsi="Times New Roman"/>
        </w:rPr>
        <w:footnoteRef/>
      </w:r>
      <w:r w:rsidRPr="0064217D">
        <w:rPr>
          <w:rFonts w:ascii="Times New Roman" w:hAnsi="Times New Roman"/>
        </w:rPr>
        <w:t xml:space="preserve"> As fully described in Handbook 4350.1, under Section 8 Pass Through, Owners with residents under a project-based Section 8 HAP Contract whose unit was rendered uninhabitable may temporarily lease a unit in another building, which is habitable, under UPCS. The Owner can sign a temporary lease on behalf of the displaced Section 8 resident (i.e., a master lease) and begin to voucher for the contract rent for that temporary unit.</w:t>
      </w:r>
      <w:r w:rsidRPr="00FA10F7">
        <w:rPr>
          <w:rFonts w:ascii="Times New Roman" w:hAnsi="Times New Roman"/>
        </w:rPr>
        <w:t> </w:t>
      </w:r>
    </w:p>
  </w:footnote>
  <w:footnote w:id="8">
    <w:p w14:paraId="6FF7A6DA" w14:textId="749D730C" w:rsidR="00053895" w:rsidRPr="00815B62" w:rsidRDefault="00053895">
      <w:pPr>
        <w:pStyle w:val="FootnoteText"/>
        <w:rPr>
          <w:rFonts w:ascii="Times New Roman" w:hAnsi="Times New Roman"/>
        </w:rPr>
      </w:pPr>
      <w:r w:rsidRPr="00815B62">
        <w:rPr>
          <w:rStyle w:val="FootnoteReference"/>
          <w:rFonts w:ascii="Times New Roman" w:hAnsi="Times New Roman"/>
        </w:rPr>
        <w:footnoteRef/>
      </w:r>
      <w:r w:rsidRPr="00815B62">
        <w:rPr>
          <w:rFonts w:ascii="Times New Roman" w:hAnsi="Times New Roman"/>
        </w:rPr>
        <w:t xml:space="preserve"> For example, if the Elderly Housing Use Agreement required a minimum affordability period of 39 years, the PHA and owner would enter into an initial 20-year HAP contract and, because the Elderly Housing Use Agreement would still be in effect at the end of the 20 year term, must subsequently agree to extend the contract for at least 19 additional years. </w:t>
      </w:r>
    </w:p>
  </w:footnote>
  <w:footnote w:id="9">
    <w:p w14:paraId="66867DB4" w14:textId="46FE89FF" w:rsidR="00053895" w:rsidRPr="00815B62" w:rsidRDefault="00053895" w:rsidP="00300D50">
      <w:pPr>
        <w:pStyle w:val="FootnoteText"/>
        <w:rPr>
          <w:rFonts w:ascii="Times New Roman" w:hAnsi="Times New Roman"/>
        </w:rPr>
      </w:pPr>
      <w:r w:rsidRPr="00815B62">
        <w:rPr>
          <w:rStyle w:val="FootnoteReference"/>
          <w:rFonts w:ascii="Times New Roman" w:hAnsi="Times New Roman"/>
        </w:rPr>
        <w:footnoteRef/>
      </w:r>
      <w:r w:rsidRPr="00815B62">
        <w:rPr>
          <w:rFonts w:ascii="Times New Roman" w:hAnsi="Times New Roman"/>
        </w:rPr>
        <w:t xml:space="preserve"> PRAC rents are the “Operating Expense Amounts” listed in Part I of the PRAC, Exhibit 1, as adjusted pursuant to rent “bundling” described in this subsection G.</w:t>
      </w:r>
    </w:p>
  </w:footnote>
  <w:footnote w:id="10">
    <w:p w14:paraId="7F57C603" w14:textId="77777777" w:rsidR="00053895" w:rsidRPr="000E6FB4" w:rsidRDefault="00053895" w:rsidP="00812351">
      <w:pPr>
        <w:pStyle w:val="FootnoteText"/>
        <w:rPr>
          <w:rFonts w:ascii="Times New Roman" w:hAnsi="Times New Roman"/>
        </w:rPr>
      </w:pPr>
      <w:r w:rsidRPr="00815B62">
        <w:rPr>
          <w:rStyle w:val="FootnoteReference"/>
          <w:rFonts w:ascii="Times New Roman" w:hAnsi="Times New Roman"/>
        </w:rPr>
        <w:footnoteRef/>
      </w:r>
      <w:r w:rsidRPr="00815B62">
        <w:rPr>
          <w:rFonts w:ascii="Times New Roman" w:hAnsi="Times New Roman"/>
        </w:rPr>
        <w:t xml:space="preserve"> These protections (as well as all protections in this Notice for current households) also apply when a household is relocated to facilitate new construction or repairs following conversion and subsequently returns to the Covered Project.</w:t>
      </w:r>
    </w:p>
  </w:footnote>
  <w:footnote w:id="11">
    <w:p w14:paraId="6FA04B49" w14:textId="19358C2B" w:rsidR="00053895" w:rsidRPr="00815B62" w:rsidRDefault="00053895">
      <w:pPr>
        <w:pStyle w:val="FootnoteText"/>
        <w:rPr>
          <w:rFonts w:ascii="Times New Roman" w:hAnsi="Times New Roman"/>
        </w:rPr>
      </w:pPr>
      <w:r w:rsidRPr="00815B62">
        <w:rPr>
          <w:rStyle w:val="FootnoteReference"/>
          <w:rFonts w:ascii="Times New Roman" w:hAnsi="Times New Roman"/>
        </w:rPr>
        <w:footnoteRef/>
      </w:r>
      <w:r w:rsidRPr="00815B62">
        <w:rPr>
          <w:rFonts w:ascii="Times New Roman" w:hAnsi="Times New Roman"/>
        </w:rPr>
        <w:t xml:space="preserve"> A household is considered to be remaining in the unit during any period of temporary relocation to permit rehabilitation of the Covered Project.</w:t>
      </w:r>
    </w:p>
  </w:footnote>
  <w:footnote w:id="12">
    <w:p w14:paraId="66D2675C" w14:textId="67D4508A" w:rsidR="00053895" w:rsidRPr="00815B62" w:rsidRDefault="00053895" w:rsidP="0007108E">
      <w:pPr>
        <w:pStyle w:val="FootnoteText"/>
        <w:rPr>
          <w:rFonts w:ascii="Times New Roman" w:hAnsi="Times New Roman"/>
        </w:rPr>
      </w:pPr>
      <w:r w:rsidRPr="00815B62">
        <w:rPr>
          <w:rStyle w:val="FootnoteReference"/>
          <w:rFonts w:ascii="Times New Roman" w:hAnsi="Times New Roman"/>
        </w:rPr>
        <w:footnoteRef/>
      </w:r>
      <w:r w:rsidRPr="00815B62">
        <w:rPr>
          <w:rFonts w:ascii="Times New Roman" w:hAnsi="Times New Roman"/>
        </w:rPr>
        <w:t xml:space="preserve"> As the later enacted statute, the RAD Statute, as amended by the </w:t>
      </w:r>
      <w:r w:rsidR="00D57E21" w:rsidRPr="00D57E21">
        <w:rPr>
          <w:rFonts w:ascii="Times New Roman" w:hAnsi="Times New Roman"/>
        </w:rPr>
        <w:t>Consolidated Appropriations Act, 2018 (Pub. L. No. 115-141)</w:t>
      </w:r>
      <w:r w:rsidRPr="00815B62">
        <w:rPr>
          <w:rFonts w:ascii="Times New Roman" w:hAnsi="Times New Roman"/>
        </w:rPr>
        <w:t xml:space="preserve"> to prohibit conversion under the Second Component from being the basis for re-screening, termination of assistance, or eviction of a family in the Converting Project, overrides the last sentence of section 3(b)(3)(A) of the Act. Absent this override, the latter provision would prohibit occupancy of an assisted unit of two or more bedrooms by a single person who is not elderly, disabled, a displaced person, or the remaining member of a tenant family, and any such unit occupied by such a person could not be included in the HAP Contract. Accordingly, 24 CFR § 5.655(b)(5) shall not apply.</w:t>
      </w:r>
    </w:p>
  </w:footnote>
  <w:footnote w:id="13">
    <w:p w14:paraId="7CD301BC" w14:textId="6ABCCBAD" w:rsidR="00053895" w:rsidRDefault="00053895">
      <w:pPr>
        <w:pStyle w:val="FootnoteText"/>
      </w:pPr>
      <w:r w:rsidRPr="00815B62">
        <w:rPr>
          <w:rStyle w:val="FootnoteReference"/>
          <w:rFonts w:ascii="Times New Roman" w:hAnsi="Times New Roman"/>
        </w:rPr>
        <w:footnoteRef/>
      </w:r>
      <w:r w:rsidRPr="00815B62">
        <w:rPr>
          <w:rFonts w:ascii="Times New Roman" w:hAnsi="Times New Roman"/>
        </w:rPr>
        <w:t xml:space="preserve"> The term “</w:t>
      </w:r>
      <w:hyperlink r:id="rId6" w:tooltip="elderly person" w:history="1">
        <w:r w:rsidRPr="00815B62">
          <w:rPr>
            <w:rFonts w:ascii="Times New Roman" w:hAnsi="Times New Roman"/>
          </w:rPr>
          <w:t>elderly person</w:t>
        </w:r>
      </w:hyperlink>
      <w:r w:rsidRPr="00815B62">
        <w:rPr>
          <w:rFonts w:ascii="Times New Roman" w:hAnsi="Times New Roman"/>
        </w:rPr>
        <w:t>” means a household composed of one or more persons at least one of whom is 62 years of age or more at the time of initial occupancy</w:t>
      </w:r>
    </w:p>
  </w:footnote>
  <w:footnote w:id="14">
    <w:p w14:paraId="7F57C604" w14:textId="77777777" w:rsidR="00053895" w:rsidRPr="00815B62" w:rsidRDefault="00053895" w:rsidP="00A14DCD">
      <w:pPr>
        <w:rPr>
          <w:sz w:val="20"/>
          <w:szCs w:val="20"/>
        </w:rPr>
      </w:pPr>
      <w:r w:rsidRPr="00815B62">
        <w:rPr>
          <w:rStyle w:val="FootnoteReference"/>
          <w:sz w:val="20"/>
          <w:szCs w:val="20"/>
        </w:rPr>
        <w:footnoteRef/>
      </w:r>
      <w:r w:rsidRPr="00815B62">
        <w:rPr>
          <w:sz w:val="20"/>
          <w:szCs w:val="20"/>
        </w:rPr>
        <w:t xml:space="preserve"> Examples of Office of Housing guidance include handbooks such as “Occupancy Requirements of Subsidized Multifamily Housing Programs” (4350.3) and “Multifamily Asset Management and Project Servicing” (4350.1).</w:t>
      </w:r>
    </w:p>
  </w:footnote>
  <w:footnote w:id="15">
    <w:p w14:paraId="1870C662" w14:textId="256683C0" w:rsidR="00053895" w:rsidRDefault="00053895">
      <w:pPr>
        <w:pStyle w:val="FootnoteText"/>
      </w:pPr>
      <w:r w:rsidRPr="00815B62">
        <w:rPr>
          <w:rStyle w:val="FootnoteReference"/>
          <w:rFonts w:ascii="Times New Roman" w:hAnsi="Times New Roman"/>
        </w:rPr>
        <w:footnoteRef/>
      </w:r>
      <w:r w:rsidRPr="00815B62">
        <w:rPr>
          <w:rFonts w:ascii="Times New Roman" w:hAnsi="Times New Roman"/>
        </w:rPr>
        <w:t xml:space="preserve"> For example, if the Elderly Housing Use Agreement required a minimum affordability period of 39 years, the HUD and Project Owner would enter into an initial 20 year HAP contract and, because the Elderly Housing Use Agreement would still be in effect at the end of the 20 year term, at the end of the term, HUD would offer and an owner must request a contract renewal covering at least 19 additional years.</w:t>
      </w:r>
    </w:p>
  </w:footnote>
  <w:footnote w:id="16">
    <w:p w14:paraId="593D8D3C" w14:textId="5E506B64" w:rsidR="00053895" w:rsidRDefault="00053895">
      <w:pPr>
        <w:pStyle w:val="FootnoteText"/>
      </w:pPr>
      <w:r>
        <w:rPr>
          <w:rStyle w:val="FootnoteReference"/>
        </w:rPr>
        <w:footnoteRef/>
      </w:r>
      <w:r>
        <w:t xml:space="preserve"> </w:t>
      </w:r>
      <w:r w:rsidRPr="00AA706A">
        <w:rPr>
          <w:rFonts w:ascii="Times New Roman" w:hAnsi="Times New Roman"/>
        </w:rPr>
        <w:t>PRAC rents are the “Operating Expense Amounts” listed in Part I of the PRAC, Exhibit 1</w:t>
      </w:r>
      <w:r>
        <w:rPr>
          <w:rFonts w:ascii="Times New Roman" w:hAnsi="Times New Roman"/>
        </w:rPr>
        <w:t>, as adjusted pursuant to rent “bundling” described in this subsection C.</w:t>
      </w:r>
    </w:p>
  </w:footnote>
  <w:footnote w:id="17">
    <w:p w14:paraId="7F57C605" w14:textId="77777777" w:rsidR="00053895" w:rsidRPr="00312332" w:rsidRDefault="00053895" w:rsidP="00E366FF">
      <w:pPr>
        <w:pStyle w:val="FootnoteText"/>
        <w:rPr>
          <w:rFonts w:ascii="Times New Roman" w:hAnsi="Times New Roman"/>
        </w:rPr>
      </w:pPr>
      <w:r w:rsidRPr="00312332">
        <w:rPr>
          <w:rStyle w:val="FootnoteReference"/>
          <w:rFonts w:ascii="Times New Roman" w:hAnsi="Times New Roman"/>
        </w:rPr>
        <w:footnoteRef/>
      </w:r>
      <w:r w:rsidRPr="00312332">
        <w:rPr>
          <w:rFonts w:ascii="Times New Roman" w:hAnsi="Times New Roman"/>
        </w:rPr>
        <w:t xml:space="preserve"> These protections (as well as all protections in this Notice for current households) also apply when a household is relocated to facilitate new construction or repairs following conversion and subsequently returns to the Covered Project.</w:t>
      </w:r>
    </w:p>
  </w:footnote>
  <w:footnote w:id="18">
    <w:p w14:paraId="29DCF066" w14:textId="41B4C53D" w:rsidR="00053895" w:rsidRPr="00312332" w:rsidRDefault="00053895">
      <w:pPr>
        <w:pStyle w:val="FootnoteText"/>
        <w:rPr>
          <w:rFonts w:ascii="Times New Roman" w:hAnsi="Times New Roman"/>
        </w:rPr>
      </w:pPr>
      <w:r w:rsidRPr="00312332">
        <w:rPr>
          <w:rStyle w:val="FootnoteReference"/>
          <w:rFonts w:ascii="Times New Roman" w:hAnsi="Times New Roman"/>
        </w:rPr>
        <w:footnoteRef/>
      </w:r>
      <w:r w:rsidRPr="00312332">
        <w:rPr>
          <w:rFonts w:ascii="Times New Roman" w:hAnsi="Times New Roman"/>
        </w:rPr>
        <w:t xml:space="preserve"> A household is considered to be remaining in the unit during any period of temporary relocation to permit rehabilitation of the Covered Project.</w:t>
      </w:r>
    </w:p>
  </w:footnote>
  <w:footnote w:id="19">
    <w:p w14:paraId="124DCFCB" w14:textId="5722BC9C" w:rsidR="00053895" w:rsidRDefault="00053895">
      <w:pPr>
        <w:pStyle w:val="FootnoteText"/>
      </w:pPr>
      <w:r w:rsidRPr="00312332">
        <w:rPr>
          <w:rStyle w:val="FootnoteReference"/>
          <w:rFonts w:ascii="Times New Roman" w:hAnsi="Times New Roman"/>
        </w:rPr>
        <w:footnoteRef/>
      </w:r>
      <w:r w:rsidRPr="00312332">
        <w:rPr>
          <w:rFonts w:ascii="Times New Roman" w:hAnsi="Times New Roman"/>
        </w:rPr>
        <w:t xml:space="preserve"> As the later enacted statute, the RAD Statute, as amended by the </w:t>
      </w:r>
      <w:r w:rsidR="00D57E21" w:rsidRPr="00D57E21">
        <w:rPr>
          <w:rFonts w:ascii="Times New Roman" w:hAnsi="Times New Roman"/>
        </w:rPr>
        <w:t>Consolidated Appropriations Act, 2018 (Pub. L. No. 115-141)</w:t>
      </w:r>
      <w:r w:rsidRPr="00312332">
        <w:rPr>
          <w:rFonts w:ascii="Times New Roman" w:hAnsi="Times New Roman"/>
        </w:rPr>
        <w:t xml:space="preserve"> to prohibit conversion under the Second Component from being the basis for re-screening, termination of assistance, or eviction of a family in the Converting Project, overrides the last sentence of section 3(b)(3)(A) of the Act. Absent this override, the latter provision would prohibit occupancy of an assisted unit of two or more bedrooms by a single person who is not elderly, disabled, a displaced person, or the remaining member of a tenant family, and any such unit occupied by such a person could not be included in the HAP Contract. Accordingly, 24 CFR § 5.655(b)(5) shall not apply.</w:t>
      </w:r>
    </w:p>
  </w:footnote>
  <w:footnote w:id="20">
    <w:p w14:paraId="703316FE" w14:textId="02203AB0" w:rsidR="00053895" w:rsidRPr="00312332" w:rsidRDefault="00053895" w:rsidP="00160840">
      <w:pPr>
        <w:pStyle w:val="FootnoteText"/>
        <w:rPr>
          <w:rFonts w:ascii="Times New Roman" w:hAnsi="Times New Roman"/>
        </w:rPr>
      </w:pPr>
      <w:r w:rsidRPr="00312332">
        <w:rPr>
          <w:rStyle w:val="FootnoteReference"/>
          <w:rFonts w:ascii="Times New Roman" w:hAnsi="Times New Roman"/>
        </w:rPr>
        <w:footnoteRef/>
      </w:r>
      <w:r w:rsidRPr="00312332">
        <w:rPr>
          <w:rFonts w:ascii="Times New Roman" w:hAnsi="Times New Roman"/>
        </w:rPr>
        <w:t xml:space="preserve"> The term “</w:t>
      </w:r>
      <w:hyperlink r:id="rId7" w:tooltip="elderly person" w:history="1">
        <w:r w:rsidRPr="00312332">
          <w:rPr>
            <w:rFonts w:ascii="Times New Roman" w:hAnsi="Times New Roman"/>
          </w:rPr>
          <w:t>elderly person</w:t>
        </w:r>
      </w:hyperlink>
      <w:r w:rsidRPr="00312332">
        <w:rPr>
          <w:rFonts w:ascii="Times New Roman" w:hAnsi="Times New Roman"/>
        </w:rPr>
        <w:t>” means a household composed of one or more persons at least one of whom is 62 years of age or more at the time of initial occupancy</w:t>
      </w:r>
      <w:r w:rsidR="00312332" w:rsidRPr="00312332">
        <w:rPr>
          <w:rFonts w:ascii="Times New Roman" w:hAnsi="Times New Roman"/>
        </w:rPr>
        <w:t>.</w:t>
      </w:r>
    </w:p>
  </w:footnote>
  <w:footnote w:id="21">
    <w:p w14:paraId="492E194F" w14:textId="5487EE3C" w:rsidR="00053895" w:rsidRDefault="00053895" w:rsidP="00536767">
      <w:pPr>
        <w:pStyle w:val="FootnoteText"/>
        <w:spacing w:after="0"/>
      </w:pPr>
      <w:r>
        <w:rPr>
          <w:rStyle w:val="FootnoteReference"/>
        </w:rPr>
        <w:footnoteRef/>
      </w:r>
      <w:r>
        <w:t xml:space="preserve"> Please note that under PBV, the standard HQS requirements related to lead-based paint under 24 CFR 982.401 do not apply. Instead, </w:t>
      </w:r>
      <w:r>
        <w:rPr>
          <w:rFonts w:eastAsia="Times New Roman"/>
        </w:rPr>
        <w:t>if the property was constructed before 1978 and one or more units has a child under age 6 residing, the PHA must ensure that the HQS requirements for lead safety at 24 CFR 983.101(c)(2) are met in those units, common areas servicing those units, and exterior painted surfaces associated with such units or common areas (or the whole property if there are children under age 6 residing in numerous units).</w:t>
      </w:r>
    </w:p>
  </w:footnote>
  <w:footnote w:id="22">
    <w:p w14:paraId="0B382FB1" w14:textId="66516442" w:rsidR="00053895" w:rsidRPr="00300D50" w:rsidRDefault="00053895" w:rsidP="00300D50">
      <w:pPr>
        <w:spacing w:after="12"/>
        <w:rPr>
          <w:sz w:val="20"/>
          <w:szCs w:val="20"/>
        </w:rPr>
      </w:pPr>
      <w:r w:rsidRPr="00300D50">
        <w:rPr>
          <w:rStyle w:val="FootnoteReference"/>
          <w:sz w:val="20"/>
          <w:szCs w:val="20"/>
        </w:rPr>
        <w:footnoteRef/>
      </w:r>
      <w:r w:rsidRPr="00300D50">
        <w:rPr>
          <w:sz w:val="20"/>
          <w:szCs w:val="20"/>
        </w:rPr>
        <w:t xml:space="preserve"> </w:t>
      </w:r>
      <w:r w:rsidRPr="007F5B93">
        <w:rPr>
          <w:sz w:val="20"/>
        </w:rPr>
        <w:t xml:space="preserve">See Notice PIH-2017-20 for guidance on </w:t>
      </w:r>
      <w:r w:rsidRPr="007F5B93">
        <w:rPr>
          <w:rFonts w:eastAsia="MS Mincho"/>
          <w:sz w:val="20"/>
          <w:szCs w:val="24"/>
        </w:rPr>
        <w:t xml:space="preserve">HOTMA non-life threatening and alternative inspection provisions. </w:t>
      </w:r>
    </w:p>
  </w:footnote>
  <w:footnote w:id="23">
    <w:p w14:paraId="7F57C606" w14:textId="77777777" w:rsidR="00053895" w:rsidRPr="00793606" w:rsidRDefault="00053895" w:rsidP="00A14DCD">
      <w:pPr>
        <w:rPr>
          <w:sz w:val="20"/>
          <w:szCs w:val="20"/>
        </w:rPr>
      </w:pPr>
      <w:r w:rsidRPr="00536767">
        <w:rPr>
          <w:rStyle w:val="FootnoteReference"/>
          <w:sz w:val="20"/>
        </w:rPr>
        <w:footnoteRef/>
      </w:r>
      <w:r w:rsidRPr="00536767">
        <w:rPr>
          <w:sz w:val="16"/>
          <w:szCs w:val="20"/>
        </w:rPr>
        <w:t xml:space="preserve"> </w:t>
      </w:r>
      <w:r w:rsidRPr="00793606">
        <w:rPr>
          <w:sz w:val="20"/>
          <w:szCs w:val="20"/>
        </w:rPr>
        <w:t>Sample resident notification letters are available at www.hud.gov/rad.</w:t>
      </w:r>
    </w:p>
  </w:footnote>
  <w:footnote w:id="24">
    <w:p w14:paraId="7F57C607" w14:textId="77777777" w:rsidR="00053895" w:rsidRPr="00312332" w:rsidRDefault="00053895" w:rsidP="008520F1">
      <w:pPr>
        <w:pStyle w:val="FootnoteText"/>
        <w:rPr>
          <w:rFonts w:ascii="Times New Roman" w:hAnsi="Times New Roman"/>
        </w:rPr>
      </w:pPr>
      <w:r w:rsidRPr="00312332">
        <w:rPr>
          <w:rStyle w:val="FootnoteReference"/>
          <w:rFonts w:ascii="Times New Roman" w:hAnsi="Times New Roman"/>
        </w:rPr>
        <w:footnoteRef/>
      </w:r>
      <w:r w:rsidRPr="00312332">
        <w:rPr>
          <w:rFonts w:ascii="Times New Roman" w:hAnsi="Times New Roman"/>
        </w:rPr>
        <w:t xml:space="preserve"> Please see the Environmental Review for RAD Transactions guidance document, available at </w:t>
      </w:r>
      <w:hyperlink r:id="rId8" w:history="1">
        <w:r w:rsidRPr="00312332">
          <w:rPr>
            <w:rStyle w:val="Hyperlink"/>
            <w:rFonts w:ascii="Times New Roman" w:hAnsi="Times New Roman"/>
          </w:rPr>
          <w:t>https://www.hudexchange.info/resource/4216/environmental-review-requirements-for-rad-transactions/</w:t>
        </w:r>
      </w:hyperlink>
      <w:r w:rsidRPr="00312332">
        <w:rPr>
          <w:rFonts w:ascii="Times New Roman" w:hAnsi="Times New Roman"/>
        </w:rPr>
        <w:t xml:space="preserve">. </w:t>
      </w:r>
    </w:p>
  </w:footnote>
  <w:footnote w:id="25">
    <w:p w14:paraId="7F57C608" w14:textId="77777777" w:rsidR="00053895" w:rsidRPr="00447EB1" w:rsidRDefault="00053895" w:rsidP="008520F1">
      <w:pPr>
        <w:pStyle w:val="FootnoteText"/>
        <w:spacing w:after="0" w:line="240" w:lineRule="auto"/>
        <w:rPr>
          <w:rFonts w:ascii="Times New Roman" w:hAnsi="Times New Roman"/>
        </w:rPr>
      </w:pPr>
      <w:r w:rsidRPr="00447EB1">
        <w:rPr>
          <w:rStyle w:val="FootnoteReference"/>
          <w:rFonts w:ascii="Times New Roman" w:hAnsi="Times New Roman"/>
        </w:rPr>
        <w:footnoteRef/>
      </w:r>
      <w:r w:rsidRPr="00447EB1">
        <w:rPr>
          <w:rFonts w:ascii="Times New Roman" w:hAnsi="Times New Roman"/>
        </w:rPr>
        <w:t xml:space="preserve"> Additional guidance on environmental review requirements is available on the HUD Environmental Review website, at </w:t>
      </w:r>
      <w:hyperlink r:id="rId9" w:history="1">
        <w:r w:rsidRPr="00447EB1">
          <w:rPr>
            <w:rStyle w:val="Hyperlink"/>
          </w:rPr>
          <w:t>https://www.hudexchange.info/environmental-review/</w:t>
        </w:r>
      </w:hyperlink>
      <w:r w:rsidRPr="00447EB1">
        <w:rPr>
          <w:rFonts w:ascii="Times New Roman" w:hAnsi="Times New Roman"/>
        </w:rPr>
        <w:t xml:space="preserve">. </w:t>
      </w:r>
    </w:p>
  </w:footnote>
  <w:footnote w:id="26">
    <w:p w14:paraId="7F57C609" w14:textId="77777777" w:rsidR="00053895" w:rsidRPr="00447EB1" w:rsidRDefault="00053895" w:rsidP="008520F1">
      <w:pPr>
        <w:pStyle w:val="FootnoteText"/>
        <w:rPr>
          <w:rFonts w:ascii="Times New Roman" w:hAnsi="Times New Roman"/>
        </w:rPr>
      </w:pPr>
      <w:r w:rsidRPr="00447EB1">
        <w:rPr>
          <w:rStyle w:val="FootnoteReference"/>
          <w:rFonts w:ascii="Times New Roman" w:hAnsi="Times New Roman"/>
        </w:rPr>
        <w:footnoteRef/>
      </w:r>
      <w:r w:rsidRPr="00447EB1">
        <w:rPr>
          <w:rFonts w:ascii="Times New Roman" w:hAnsi="Times New Roman"/>
        </w:rPr>
        <w:t xml:space="preserve"> The MAP Guide is available at </w:t>
      </w:r>
      <w:hyperlink r:id="rId10" w:history="1">
        <w:r w:rsidRPr="00447EB1">
          <w:rPr>
            <w:rStyle w:val="Hyperlink"/>
          </w:rPr>
          <w:t>http://portal.hud.gov/hudportal/HUD?src=/program_offices/administration/hudclips/guidebooks/hsg-GB4430</w:t>
        </w:r>
      </w:hyperlink>
      <w:r w:rsidRPr="00447EB1">
        <w:rPr>
          <w:rFonts w:ascii="Times New Roman" w:hAnsi="Times New Roman"/>
        </w:rPr>
        <w:t xml:space="preserve">. </w:t>
      </w:r>
    </w:p>
  </w:footnote>
  <w:footnote w:id="27">
    <w:p w14:paraId="7F57C60A" w14:textId="77777777" w:rsidR="00053895" w:rsidRPr="00447EB1" w:rsidRDefault="00053895" w:rsidP="008520F1">
      <w:pPr>
        <w:pStyle w:val="FootnoteText"/>
        <w:rPr>
          <w:rFonts w:ascii="Times New Roman" w:hAnsi="Times New Roman"/>
        </w:rPr>
      </w:pPr>
      <w:r w:rsidRPr="00447EB1">
        <w:rPr>
          <w:rStyle w:val="FootnoteReference"/>
          <w:rFonts w:ascii="Times New Roman" w:hAnsi="Times New Roman"/>
        </w:rPr>
        <w:footnoteRef/>
      </w:r>
      <w:r w:rsidRPr="00447EB1">
        <w:rPr>
          <w:rFonts w:ascii="Times New Roman" w:hAnsi="Times New Roman"/>
        </w:rPr>
        <w:t xml:space="preserve"> This is further defined as those transactions that do not anticipate any reasonably foreseeable repairs or other physical activities beyond maintenance, as defined in HUD Notice CPD 2016-02.</w:t>
      </w:r>
    </w:p>
  </w:footnote>
  <w:footnote w:id="28">
    <w:p w14:paraId="7F57C60B" w14:textId="77777777" w:rsidR="00053895" w:rsidRPr="00447EB1" w:rsidRDefault="00053895" w:rsidP="008520F1">
      <w:pPr>
        <w:pStyle w:val="FootnoteText"/>
        <w:spacing w:after="0" w:line="240" w:lineRule="auto"/>
        <w:rPr>
          <w:rFonts w:ascii="Times New Roman" w:hAnsi="Times New Roman"/>
        </w:rPr>
      </w:pPr>
      <w:r w:rsidRPr="00447EB1">
        <w:rPr>
          <w:rStyle w:val="FootnoteReference"/>
          <w:rFonts w:ascii="Times New Roman" w:hAnsi="Times New Roman"/>
        </w:rPr>
        <w:footnoteRef/>
      </w:r>
      <w:r w:rsidRPr="00447EB1">
        <w:rPr>
          <w:rFonts w:ascii="Times New Roman" w:hAnsi="Times New Roman"/>
        </w:rPr>
        <w:t xml:space="preserve"> Substantial rehabilitation is any rehabilitation that does not meet the conditions in 24 CFR § 50.20(a)(2) for exclusion from review under the National Environmental Policy Act.</w:t>
      </w:r>
    </w:p>
  </w:footnote>
  <w:footnote w:id="29">
    <w:p w14:paraId="7F57C60C" w14:textId="77777777" w:rsidR="00053895" w:rsidRPr="00447EB1" w:rsidRDefault="00053895" w:rsidP="008520F1">
      <w:pPr>
        <w:pStyle w:val="FootnoteText"/>
        <w:spacing w:after="0" w:line="240" w:lineRule="auto"/>
        <w:rPr>
          <w:rFonts w:ascii="Times New Roman" w:hAnsi="Times New Roman"/>
        </w:rPr>
      </w:pPr>
      <w:r w:rsidRPr="00447EB1">
        <w:rPr>
          <w:rStyle w:val="FootnoteReference"/>
          <w:rFonts w:ascii="Times New Roman" w:hAnsi="Times New Roman"/>
        </w:rPr>
        <w:footnoteRef/>
      </w:r>
      <w:r w:rsidRPr="00447EB1">
        <w:rPr>
          <w:rFonts w:ascii="Times New Roman" w:hAnsi="Times New Roman"/>
        </w:rPr>
        <w:t xml:space="preserve"> Applications to RAD for conversion assistance involving substantial rehabilitation or new construction will always require a Phase I ESA in accordance with ASTM E 1527-13.</w:t>
      </w:r>
    </w:p>
  </w:footnote>
  <w:footnote w:id="30">
    <w:p w14:paraId="7F57C60D" w14:textId="77777777" w:rsidR="00053895" w:rsidRPr="00447EB1" w:rsidRDefault="00053895" w:rsidP="008520F1">
      <w:pPr>
        <w:pStyle w:val="FootnoteText"/>
        <w:rPr>
          <w:rFonts w:ascii="Times New Roman" w:hAnsi="Times New Roman"/>
        </w:rPr>
      </w:pPr>
      <w:r w:rsidRPr="00447EB1">
        <w:rPr>
          <w:rStyle w:val="FootnoteReference"/>
          <w:rFonts w:ascii="Times New Roman" w:hAnsi="Times New Roman"/>
        </w:rPr>
        <w:footnoteRef/>
      </w:r>
      <w:r w:rsidRPr="00447EB1">
        <w:rPr>
          <w:rFonts w:ascii="Times New Roman" w:hAnsi="Times New Roman"/>
        </w:rPr>
        <w:t xml:space="preserve"> The Transaction Screen does not meet the standard for “All Appropriate Inquiries” for CERCLA liability protection, as noted in ASTM E 1528-14 Section 4.2.1.</w:t>
      </w:r>
    </w:p>
  </w:footnote>
  <w:footnote w:id="31">
    <w:p w14:paraId="7F57C60E" w14:textId="77777777" w:rsidR="00053895" w:rsidRPr="00447EB1" w:rsidRDefault="00053895" w:rsidP="008520F1">
      <w:pPr>
        <w:pStyle w:val="FootnoteText"/>
        <w:rPr>
          <w:rFonts w:ascii="Times New Roman" w:hAnsi="Times New Roman"/>
        </w:rPr>
      </w:pPr>
      <w:r w:rsidRPr="00447EB1">
        <w:rPr>
          <w:rStyle w:val="FootnoteReference"/>
          <w:rFonts w:ascii="Times New Roman" w:hAnsi="Times New Roman"/>
        </w:rPr>
        <w:footnoteRef/>
      </w:r>
      <w:r w:rsidRPr="00447EB1">
        <w:rPr>
          <w:rFonts w:ascii="Times New Roman" w:hAnsi="Times New Roman"/>
        </w:rPr>
        <w:t xml:space="preserve"> PHAs and providers should take care to respond to all applicable laws and authorities when providing documentation for environmental review. For all maps, please clearly indicate where the project site is located. HUD encourages use of the Partner Worksheets available at </w:t>
      </w:r>
      <w:hyperlink r:id="rId11" w:history="1">
        <w:r w:rsidRPr="00447EB1">
          <w:rPr>
            <w:rStyle w:val="Hyperlink"/>
          </w:rPr>
          <w:t>https://www.hudexchange.info/resource/5119/environmental-review-record-related-federal-laws-and-authorities-partner-worksheets/</w:t>
        </w:r>
      </w:hyperlink>
      <w:r w:rsidRPr="00447EB1">
        <w:rPr>
          <w:rFonts w:ascii="Times New Roman" w:hAnsi="Times New Roman"/>
        </w:rPr>
        <w:t xml:space="preserve"> to assist in satisfying these requirements.</w:t>
      </w:r>
    </w:p>
  </w:footnote>
  <w:footnote w:id="32">
    <w:p w14:paraId="7F57C60F" w14:textId="2FE04ECA" w:rsidR="00053895" w:rsidRPr="00447EB1" w:rsidRDefault="00053895" w:rsidP="008520F1">
      <w:pPr>
        <w:pStyle w:val="FootnoteText"/>
        <w:spacing w:after="0" w:line="240" w:lineRule="auto"/>
        <w:rPr>
          <w:rFonts w:ascii="Times New Roman" w:hAnsi="Times New Roman"/>
        </w:rPr>
      </w:pPr>
      <w:r w:rsidRPr="00447EB1">
        <w:rPr>
          <w:rStyle w:val="FootnoteReference"/>
          <w:rFonts w:ascii="Times New Roman" w:hAnsi="Times New Roman"/>
        </w:rPr>
        <w:footnoteRef/>
      </w:r>
      <w:r w:rsidRPr="00447EB1">
        <w:rPr>
          <w:rFonts w:ascii="Times New Roman" w:hAnsi="Times New Roman"/>
        </w:rPr>
        <w:t xml:space="preserve"> HUD recommended formats are available at </w:t>
      </w:r>
      <w:hyperlink r:id="rId12" w:history="1">
        <w:r w:rsidRPr="00447EB1">
          <w:rPr>
            <w:rStyle w:val="Hyperlink"/>
          </w:rPr>
          <w:t>https://www.hudexchange.info/resource/3139/part-58-environmental-review-cest-format/</w:t>
        </w:r>
      </w:hyperlink>
      <w:r w:rsidRPr="00447EB1">
        <w:rPr>
          <w:rFonts w:ascii="Times New Roman" w:hAnsi="Times New Roman"/>
        </w:rPr>
        <w:t xml:space="preserve"> and </w:t>
      </w:r>
      <w:hyperlink r:id="rId13" w:history="1">
        <w:r w:rsidRPr="00447EB1">
          <w:rPr>
            <w:rStyle w:val="Hyperlink"/>
          </w:rPr>
          <w:t>https://www.hudexchange.info/resource/3140/part-58-environmental-assessment-form/</w:t>
        </w:r>
      </w:hyperlink>
      <w:r>
        <w:rPr>
          <w:rFonts w:ascii="Times New Roman" w:hAnsi="Times New Roman"/>
        </w:rPr>
        <w:t xml:space="preserve">. </w:t>
      </w:r>
    </w:p>
  </w:footnote>
  <w:footnote w:id="33">
    <w:p w14:paraId="7F57C610" w14:textId="77777777" w:rsidR="00053895" w:rsidRPr="00447EB1" w:rsidRDefault="00053895" w:rsidP="008520F1">
      <w:pPr>
        <w:pStyle w:val="FootnoteText"/>
        <w:spacing w:after="0" w:line="240" w:lineRule="auto"/>
        <w:rPr>
          <w:rFonts w:ascii="Times New Roman" w:hAnsi="Times New Roman"/>
        </w:rPr>
      </w:pPr>
      <w:r w:rsidRPr="00447EB1">
        <w:rPr>
          <w:rStyle w:val="FootnoteReference"/>
          <w:rFonts w:ascii="Times New Roman" w:hAnsi="Times New Roman"/>
        </w:rPr>
        <w:footnoteRef/>
      </w:r>
      <w:r w:rsidRPr="00447EB1">
        <w:rPr>
          <w:rFonts w:ascii="Times New Roman" w:hAnsi="Times New Roman"/>
        </w:rPr>
        <w:t xml:space="preserve"> Form HUD-7015.15 is available at </w:t>
      </w:r>
      <w:hyperlink r:id="rId14" w:history="1">
        <w:r w:rsidRPr="00447EB1">
          <w:rPr>
            <w:rStyle w:val="Hyperlink"/>
          </w:rPr>
          <w:t>https://www.hudexchange.info/resource/2338/hud-form-701515-request-release-funds-certification/</w:t>
        </w:r>
      </w:hyperlink>
      <w:r w:rsidRPr="00447EB1">
        <w:rPr>
          <w:rFonts w:ascii="Times New Roman" w:hAnsi="Times New Roman"/>
        </w:rPr>
        <w:t xml:space="preserve">. </w:t>
      </w:r>
    </w:p>
  </w:footnote>
  <w:footnote w:id="34">
    <w:p w14:paraId="7F57C611" w14:textId="77777777" w:rsidR="00053895" w:rsidRPr="00447EB1" w:rsidRDefault="00053895" w:rsidP="008520F1">
      <w:pPr>
        <w:pStyle w:val="FootnoteText"/>
        <w:rPr>
          <w:rFonts w:ascii="Times New Roman" w:hAnsi="Times New Roman"/>
        </w:rPr>
      </w:pPr>
      <w:r w:rsidRPr="00447EB1">
        <w:rPr>
          <w:rStyle w:val="FootnoteReference"/>
          <w:rFonts w:ascii="Times New Roman" w:hAnsi="Times New Roman"/>
        </w:rPr>
        <w:footnoteRef/>
      </w:r>
      <w:r w:rsidRPr="00447EB1">
        <w:rPr>
          <w:rFonts w:ascii="Times New Roman" w:hAnsi="Times New Roman"/>
        </w:rPr>
        <w:t xml:space="preserve"> Defined as any reasonably foreseeable repairs or other physical activities beyond maintenance, as defined in HUD Notice CPD-16-02.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7C5F9" w14:textId="77777777" w:rsidR="00053895" w:rsidRPr="004C3B5B" w:rsidRDefault="00053895" w:rsidP="004C3B5B">
    <w:pPr>
      <w:jc w:val="right"/>
      <w:rPr>
        <w:sz w:val="22"/>
      </w:rPr>
    </w:pPr>
    <w:r w:rsidRPr="004C3B5B">
      <w:rPr>
        <w:sz w:val="22"/>
      </w:rPr>
      <w:t xml:space="preserve">Section IV: Section 202 Project Rental Assistance Contract (PRAC) Projects </w:t>
    </w:r>
  </w:p>
  <w:p w14:paraId="7F57C5FA" w14:textId="77777777" w:rsidR="00053895" w:rsidRDefault="00053895" w:rsidP="00A14DC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5E45"/>
    <w:multiLevelType w:val="multilevel"/>
    <w:tmpl w:val="DE24B138"/>
    <w:lvl w:ilvl="0">
      <w:start w:val="1"/>
      <w:numFmt w:val="none"/>
      <w:lvlText w:val="1."/>
      <w:lvlJc w:val="left"/>
      <w:pPr>
        <w:ind w:left="0" w:hanging="360"/>
      </w:pPr>
      <w:rPr>
        <w:rFonts w:hint="default"/>
      </w:rPr>
    </w:lvl>
    <w:lvl w:ilvl="1">
      <w:start w:val="1"/>
      <w:numFmt w:val="decimal"/>
      <w:lvlRestart w:val="0"/>
      <w:pStyle w:val="Heading2"/>
      <w:lvlText w:val="1.%2"/>
      <w:lvlJc w:val="left"/>
      <w:pPr>
        <w:ind w:left="142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 w15:restartNumberingAfterBreak="0">
    <w:nsid w:val="04B0111C"/>
    <w:multiLevelType w:val="hybridMultilevel"/>
    <w:tmpl w:val="3D82029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9472CE5"/>
    <w:multiLevelType w:val="multilevel"/>
    <w:tmpl w:val="277E6AEA"/>
    <w:lvl w:ilvl="0">
      <w:start w:val="1"/>
      <w:numFmt w:val="none"/>
      <w:lvlText w:val="1."/>
      <w:lvlJc w:val="left"/>
      <w:pPr>
        <w:ind w:left="360" w:hanging="360"/>
      </w:pPr>
      <w:rPr>
        <w:rFonts w:hint="default"/>
      </w:rPr>
    </w:lvl>
    <w:lvl w:ilvl="1">
      <w:start w:val="1"/>
      <w:numFmt w:val="decimal"/>
      <w:pStyle w:val="Header21"/>
      <w:lvlText w:val="2.%2%1"/>
      <w:lvlJc w:val="left"/>
      <w:pPr>
        <w:ind w:left="432" w:hanging="432"/>
      </w:pPr>
      <w:rPr>
        <w:rFonts w:hint="default"/>
        <w:b/>
        <w:i w:val="0"/>
      </w:rPr>
    </w:lvl>
    <w:lvl w:ilvl="2">
      <w:start w:val="1"/>
      <w:numFmt w:val="decimal"/>
      <w:lvlText w:val="%12.%2.%3"/>
      <w:lvlJc w:val="left"/>
      <w:pPr>
        <w:tabs>
          <w:tab w:val="num" w:pos="720"/>
        </w:tabs>
        <w:ind w:left="1224" w:hanging="504"/>
      </w:pPr>
      <w:rPr>
        <w:rFonts w:hint="default"/>
      </w:rPr>
    </w:lvl>
    <w:lvl w:ilvl="3">
      <w:start w:val="1"/>
      <w:numFmt w:val="decimal"/>
      <w:lvlText w:val="%12.%2.%3.%4"/>
      <w:lvlJc w:val="left"/>
      <w:pPr>
        <w:ind w:left="1728" w:hanging="648"/>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0B3330"/>
    <w:multiLevelType w:val="multilevel"/>
    <w:tmpl w:val="37C28972"/>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FA47D4"/>
    <w:multiLevelType w:val="multilevel"/>
    <w:tmpl w:val="A758497C"/>
    <w:lvl w:ilvl="0">
      <w:start w:val="1"/>
      <w:numFmt w:val="upperLetter"/>
      <w:lvlText w:val="%1."/>
      <w:lvlJc w:val="left"/>
      <w:pPr>
        <w:ind w:left="806" w:hanging="532"/>
      </w:pPr>
      <w:rPr>
        <w:rFonts w:ascii="Times New Roman" w:eastAsia="Times New Roman" w:hAnsi="Times New Roman" w:hint="default"/>
        <w:b/>
        <w:sz w:val="24"/>
        <w:szCs w:val="24"/>
      </w:rPr>
    </w:lvl>
    <w:lvl w:ilvl="1">
      <w:start w:val="1"/>
      <w:numFmt w:val="decimal"/>
      <w:lvlText w:val="%2."/>
      <w:lvlJc w:val="right"/>
      <w:pPr>
        <w:tabs>
          <w:tab w:val="num" w:pos="936"/>
        </w:tabs>
        <w:ind w:left="1108" w:hanging="532"/>
      </w:pPr>
      <w:rPr>
        <w:rFonts w:ascii="Times New Roman" w:eastAsia="Calibri" w:hAnsi="Times New Roman" w:cs="Times New Roman"/>
        <w:b w:val="0"/>
        <w:sz w:val="24"/>
        <w:szCs w:val="24"/>
      </w:rPr>
    </w:lvl>
    <w:lvl w:ilvl="2">
      <w:start w:val="1"/>
      <w:numFmt w:val="lowerLetter"/>
      <w:lvlText w:val="%3."/>
      <w:lvlJc w:val="left"/>
      <w:pPr>
        <w:ind w:left="1410" w:hanging="532"/>
      </w:pPr>
      <w:rPr>
        <w:rFonts w:hint="default"/>
        <w:b w:val="0"/>
      </w:rPr>
    </w:lvl>
    <w:lvl w:ilvl="3">
      <w:start w:val="1"/>
      <w:numFmt w:val="decimal"/>
      <w:isLgl/>
      <w:lvlText w:val="%1.%2.%3.%4"/>
      <w:lvlJc w:val="left"/>
      <w:pPr>
        <w:ind w:left="1712" w:hanging="532"/>
      </w:pPr>
      <w:rPr>
        <w:rFonts w:hint="default"/>
      </w:rPr>
    </w:lvl>
    <w:lvl w:ilvl="4">
      <w:start w:val="1"/>
      <w:numFmt w:val="decimal"/>
      <w:isLgl/>
      <w:lvlText w:val="%1.%2.%3.%4.%5"/>
      <w:lvlJc w:val="left"/>
      <w:pPr>
        <w:ind w:left="2014" w:hanging="532"/>
      </w:pPr>
      <w:rPr>
        <w:rFonts w:hint="default"/>
      </w:rPr>
    </w:lvl>
    <w:lvl w:ilvl="5">
      <w:start w:val="1"/>
      <w:numFmt w:val="decimal"/>
      <w:isLgl/>
      <w:lvlText w:val="%1.%2.%3.%4.%5.%6"/>
      <w:lvlJc w:val="left"/>
      <w:pPr>
        <w:ind w:left="2316" w:hanging="532"/>
      </w:pPr>
      <w:rPr>
        <w:rFonts w:hint="default"/>
      </w:rPr>
    </w:lvl>
    <w:lvl w:ilvl="6">
      <w:start w:val="1"/>
      <w:numFmt w:val="decimal"/>
      <w:isLgl/>
      <w:lvlText w:val="%1.%2.%3.%4.%5.%6.%7"/>
      <w:lvlJc w:val="left"/>
      <w:pPr>
        <w:ind w:left="2618" w:hanging="532"/>
      </w:pPr>
      <w:rPr>
        <w:rFonts w:hint="default"/>
      </w:rPr>
    </w:lvl>
    <w:lvl w:ilvl="7">
      <w:start w:val="1"/>
      <w:numFmt w:val="decimal"/>
      <w:isLgl/>
      <w:lvlText w:val="%1.%2.%3.%4.%5.%6.%7.%8"/>
      <w:lvlJc w:val="left"/>
      <w:pPr>
        <w:ind w:left="2920" w:hanging="532"/>
      </w:pPr>
      <w:rPr>
        <w:rFonts w:hint="default"/>
      </w:rPr>
    </w:lvl>
    <w:lvl w:ilvl="8">
      <w:start w:val="1"/>
      <w:numFmt w:val="decimal"/>
      <w:isLgl/>
      <w:lvlText w:val="%1.%2.%3.%4.%5.%6.%7.%8.%9"/>
      <w:lvlJc w:val="left"/>
      <w:pPr>
        <w:ind w:left="3222" w:hanging="532"/>
      </w:pPr>
      <w:rPr>
        <w:rFonts w:hint="default"/>
      </w:rPr>
    </w:lvl>
  </w:abstractNum>
  <w:abstractNum w:abstractNumId="5" w15:restartNumberingAfterBreak="0">
    <w:nsid w:val="14164FE7"/>
    <w:multiLevelType w:val="multilevel"/>
    <w:tmpl w:val="4DF64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5355CE"/>
    <w:multiLevelType w:val="hybridMultilevel"/>
    <w:tmpl w:val="E5DA9964"/>
    <w:lvl w:ilvl="0" w:tplc="0409001B">
      <w:start w:val="1"/>
      <w:numFmt w:val="lowerRoman"/>
      <w:lvlText w:val="%1."/>
      <w:lvlJc w:val="right"/>
      <w:pPr>
        <w:ind w:left="720" w:hanging="360"/>
      </w:pPr>
      <w:rPr>
        <w:b/>
      </w:rPr>
    </w:lvl>
    <w:lvl w:ilvl="1" w:tplc="79C02A2A">
      <w:start w:val="1"/>
      <w:numFmt w:val="lowerLetter"/>
      <w:lvlText w:val="%2."/>
      <w:lvlJc w:val="left"/>
      <w:pPr>
        <w:ind w:left="1440" w:hanging="360"/>
      </w:pPr>
      <w:rPr>
        <w:b/>
        <w:caps/>
      </w:rPr>
    </w:lvl>
    <w:lvl w:ilvl="2" w:tplc="BC102C6E">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B1DE9"/>
    <w:multiLevelType w:val="hybridMultilevel"/>
    <w:tmpl w:val="4EE62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070DC9"/>
    <w:multiLevelType w:val="hybridMultilevel"/>
    <w:tmpl w:val="5A4C93AC"/>
    <w:lvl w:ilvl="0" w:tplc="353E127C">
      <w:start w:val="1"/>
      <w:numFmt w:val="upperLetter"/>
      <w:lvlText w:val="%1."/>
      <w:lvlJc w:val="left"/>
      <w:pPr>
        <w:ind w:left="4320" w:hanging="360"/>
      </w:pPr>
      <w:rPr>
        <w:rFonts w:hint="default"/>
        <w:b/>
        <w:sz w:val="24"/>
      </w:rPr>
    </w:lvl>
    <w:lvl w:ilvl="1" w:tplc="0EE6D18E">
      <w:start w:val="1"/>
      <w:numFmt w:val="decimal"/>
      <w:lvlText w:val="%2)"/>
      <w:lvlJc w:val="left"/>
      <w:pPr>
        <w:ind w:left="1440" w:hanging="360"/>
      </w:pPr>
      <w:rPr>
        <w:rFonts w:ascii="Times New Roman" w:eastAsia="Calibri" w:hAnsi="Times New Roman" w:cs="Times New Roman"/>
        <w:b w:val="0"/>
      </w:rPr>
    </w:lvl>
    <w:lvl w:ilvl="2" w:tplc="9328C8D6">
      <w:start w:val="1"/>
      <w:numFmt w:val="lowerLetter"/>
      <w:lvlText w:val="%3)"/>
      <w:lvlJc w:val="left"/>
      <w:pPr>
        <w:ind w:left="2160" w:hanging="180"/>
      </w:pPr>
      <w:rPr>
        <w:rFonts w:ascii="Times New Roman" w:eastAsia="Calibri" w:hAnsi="Times New Roman" w:cs="Times New Roman"/>
      </w:rPr>
    </w:lvl>
    <w:lvl w:ilvl="3" w:tplc="04090017">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A1A5D"/>
    <w:multiLevelType w:val="multilevel"/>
    <w:tmpl w:val="AF84011C"/>
    <w:lvl w:ilvl="0">
      <w:start w:val="1"/>
      <w:numFmt w:val="upperLetter"/>
      <w:lvlText w:val="%1."/>
      <w:lvlJc w:val="left"/>
      <w:pPr>
        <w:ind w:left="1080" w:hanging="360"/>
      </w:pPr>
      <w:rPr>
        <w:rFonts w:ascii="Times New Roman" w:eastAsia="Times New Roman" w:hAnsi="Times New Roman"/>
        <w:b/>
        <w:sz w:val="24"/>
        <w:szCs w:val="24"/>
      </w:rPr>
    </w:lvl>
    <w:lvl w:ilvl="1">
      <w:start w:val="3"/>
      <w:numFmt w:val="decimal"/>
      <w:isLgl/>
      <w:lvlText w:val="%1.%2"/>
      <w:lvlJc w:val="left"/>
      <w:pPr>
        <w:ind w:left="1200" w:hanging="48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97103CA"/>
    <w:multiLevelType w:val="hybridMultilevel"/>
    <w:tmpl w:val="36829E28"/>
    <w:lvl w:ilvl="0" w:tplc="DE16758C">
      <w:start w:val="1"/>
      <w:numFmt w:val="lowerLetter"/>
      <w:lvlText w:val="%1."/>
      <w:lvlJc w:val="left"/>
      <w:pPr>
        <w:ind w:left="1440" w:hanging="360"/>
      </w:pPr>
      <w:rPr>
        <w:rFonts w:hint="default"/>
        <w:b/>
      </w:rPr>
    </w:lvl>
    <w:lvl w:ilvl="1" w:tplc="F32C8E2A">
      <w:start w:val="1"/>
      <w:numFmt w:val="decimal"/>
      <w:lvlText w:val="%2."/>
      <w:lvlJc w:val="left"/>
      <w:pPr>
        <w:tabs>
          <w:tab w:val="num" w:pos="1440"/>
        </w:tabs>
        <w:ind w:left="1440" w:hanging="360"/>
      </w:pPr>
      <w:rPr>
        <w:b w:val="0"/>
      </w:rPr>
    </w:lvl>
    <w:lvl w:ilvl="2" w:tplc="0409000F">
      <w:start w:val="1"/>
      <w:numFmt w:val="decimal"/>
      <w:lvlText w:val="%3."/>
      <w:lvlJc w:val="left"/>
      <w:pPr>
        <w:tabs>
          <w:tab w:val="num" w:pos="2160"/>
        </w:tabs>
        <w:ind w:left="2160" w:hanging="360"/>
      </w:pPr>
      <w:rPr>
        <w:b/>
      </w:rPr>
    </w:lvl>
    <w:lvl w:ilvl="3" w:tplc="FC4EC90A">
      <w:start w:val="1"/>
      <w:numFmt w:val="lowerLetter"/>
      <w:lvlText w:val="%4."/>
      <w:lvlJc w:val="left"/>
      <w:pPr>
        <w:tabs>
          <w:tab w:val="num" w:pos="2880"/>
        </w:tabs>
        <w:ind w:left="2880" w:hanging="360"/>
      </w:pPr>
      <w:rPr>
        <w:i w:val="0"/>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C101C42"/>
    <w:multiLevelType w:val="hybridMultilevel"/>
    <w:tmpl w:val="245ADB96"/>
    <w:lvl w:ilvl="0" w:tplc="A1687F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13F9E"/>
    <w:multiLevelType w:val="hybridMultilevel"/>
    <w:tmpl w:val="12802424"/>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20ABB2">
      <w:start w:val="1"/>
      <w:numFmt w:val="upperLetter"/>
      <w:lvlText w:val="%4."/>
      <w:lvlJc w:val="left"/>
      <w:pPr>
        <w:ind w:left="2880" w:hanging="360"/>
      </w:pPr>
      <w:rPr>
        <w:b/>
      </w:rPr>
    </w:lvl>
    <w:lvl w:ilvl="4" w:tplc="0409000F">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B341F2"/>
    <w:multiLevelType w:val="hybridMultilevel"/>
    <w:tmpl w:val="4F3E7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F31394"/>
    <w:multiLevelType w:val="hybridMultilevel"/>
    <w:tmpl w:val="7F7662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C23BC"/>
    <w:multiLevelType w:val="hybridMultilevel"/>
    <w:tmpl w:val="A976B198"/>
    <w:lvl w:ilvl="0" w:tplc="B40823E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32D4D"/>
    <w:multiLevelType w:val="multilevel"/>
    <w:tmpl w:val="72B2A9B0"/>
    <w:lvl w:ilvl="0">
      <w:start w:val="4"/>
      <w:numFmt w:val="decimal"/>
      <w:lvlText w:val="%1"/>
      <w:lvlJc w:val="left"/>
      <w:pPr>
        <w:ind w:left="360" w:hanging="360"/>
      </w:pPr>
      <w:rPr>
        <w:rFonts w:eastAsia="Calibri" w:hint="default"/>
        <w:b/>
      </w:rPr>
    </w:lvl>
    <w:lvl w:ilvl="1">
      <w:start w:val="4"/>
      <w:numFmt w:val="decimal"/>
      <w:lvlText w:val="%1.%2"/>
      <w:lvlJc w:val="left"/>
      <w:pPr>
        <w:ind w:left="1710" w:hanging="360"/>
      </w:pPr>
      <w:rPr>
        <w:rFonts w:eastAsia="Calibri" w:hint="default"/>
        <w:b w:val="0"/>
        <w:sz w:val="24"/>
      </w:rPr>
    </w:lvl>
    <w:lvl w:ilvl="2">
      <w:start w:val="1"/>
      <w:numFmt w:val="decimal"/>
      <w:lvlText w:val="%1.%2.%3"/>
      <w:lvlJc w:val="left"/>
      <w:pPr>
        <w:ind w:left="2700" w:hanging="720"/>
      </w:pPr>
      <w:rPr>
        <w:rFonts w:eastAsia="Calibri" w:hint="default"/>
        <w:b w:val="0"/>
      </w:rPr>
    </w:lvl>
    <w:lvl w:ilvl="3">
      <w:start w:val="1"/>
      <w:numFmt w:val="decimal"/>
      <w:lvlText w:val="%1.%2.%3.%4"/>
      <w:lvlJc w:val="left"/>
      <w:pPr>
        <w:ind w:left="3690" w:hanging="720"/>
      </w:pPr>
      <w:rPr>
        <w:rFonts w:eastAsia="Calibri" w:hint="default"/>
        <w:b/>
      </w:rPr>
    </w:lvl>
    <w:lvl w:ilvl="4">
      <w:start w:val="1"/>
      <w:numFmt w:val="decimal"/>
      <w:lvlText w:val="%1.%2.%3.%4.%5"/>
      <w:lvlJc w:val="left"/>
      <w:pPr>
        <w:ind w:left="5040" w:hanging="1080"/>
      </w:pPr>
      <w:rPr>
        <w:rFonts w:eastAsia="Calibri" w:hint="default"/>
        <w:b/>
      </w:rPr>
    </w:lvl>
    <w:lvl w:ilvl="5">
      <w:start w:val="1"/>
      <w:numFmt w:val="decimal"/>
      <w:lvlText w:val="%1.%2.%3.%4.%5.%6"/>
      <w:lvlJc w:val="left"/>
      <w:pPr>
        <w:ind w:left="6030" w:hanging="1080"/>
      </w:pPr>
      <w:rPr>
        <w:rFonts w:eastAsia="Calibri" w:hint="default"/>
        <w:b/>
      </w:rPr>
    </w:lvl>
    <w:lvl w:ilvl="6">
      <w:start w:val="1"/>
      <w:numFmt w:val="decimal"/>
      <w:lvlText w:val="%1.%2.%3.%4.%5.%6.%7"/>
      <w:lvlJc w:val="left"/>
      <w:pPr>
        <w:ind w:left="7380" w:hanging="1440"/>
      </w:pPr>
      <w:rPr>
        <w:rFonts w:eastAsia="Calibri" w:hint="default"/>
        <w:b/>
      </w:rPr>
    </w:lvl>
    <w:lvl w:ilvl="7">
      <w:start w:val="1"/>
      <w:numFmt w:val="decimal"/>
      <w:lvlText w:val="%1.%2.%3.%4.%5.%6.%7.%8"/>
      <w:lvlJc w:val="left"/>
      <w:pPr>
        <w:ind w:left="8370" w:hanging="1440"/>
      </w:pPr>
      <w:rPr>
        <w:rFonts w:eastAsia="Calibri" w:hint="default"/>
        <w:b/>
      </w:rPr>
    </w:lvl>
    <w:lvl w:ilvl="8">
      <w:start w:val="1"/>
      <w:numFmt w:val="decimal"/>
      <w:lvlText w:val="%1.%2.%3.%4.%5.%6.%7.%8.%9"/>
      <w:lvlJc w:val="left"/>
      <w:pPr>
        <w:ind w:left="9720" w:hanging="1800"/>
      </w:pPr>
      <w:rPr>
        <w:rFonts w:eastAsia="Calibri" w:hint="default"/>
        <w:b/>
      </w:rPr>
    </w:lvl>
  </w:abstractNum>
  <w:abstractNum w:abstractNumId="17" w15:restartNumberingAfterBreak="0">
    <w:nsid w:val="4E9A229A"/>
    <w:multiLevelType w:val="hybridMultilevel"/>
    <w:tmpl w:val="9AA2B2E6"/>
    <w:lvl w:ilvl="0" w:tplc="0409001B">
      <w:start w:val="1"/>
      <w:numFmt w:val="lowerRoman"/>
      <w:lvlText w:val="%1."/>
      <w:lvlJc w:val="right"/>
      <w:pPr>
        <w:ind w:left="792" w:hanging="360"/>
      </w:pPr>
      <w:rPr>
        <w:rFonts w:hint="default"/>
        <w:b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FB64173"/>
    <w:multiLevelType w:val="hybridMultilevel"/>
    <w:tmpl w:val="EFBA7248"/>
    <w:lvl w:ilvl="0" w:tplc="3C1424C4">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D127C8"/>
    <w:multiLevelType w:val="hybridMultilevel"/>
    <w:tmpl w:val="18F84112"/>
    <w:lvl w:ilvl="0" w:tplc="249CC4D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0D4212"/>
    <w:multiLevelType w:val="hybridMultilevel"/>
    <w:tmpl w:val="C22E1938"/>
    <w:lvl w:ilvl="0" w:tplc="DF94F5A8">
      <w:start w:val="1"/>
      <w:numFmt w:val="upperLetter"/>
      <w:lvlText w:val="%1."/>
      <w:lvlJc w:val="left"/>
      <w:pPr>
        <w:ind w:left="900" w:hanging="360"/>
      </w:pPr>
      <w:rPr>
        <w:rFonts w:hint="default"/>
        <w:b/>
        <w:color w:val="auto"/>
        <w:u w:val="none"/>
      </w:rPr>
    </w:lvl>
    <w:lvl w:ilvl="1" w:tplc="85822E4A">
      <w:start w:val="1"/>
      <w:numFmt w:val="decimal"/>
      <w:lvlText w:val="%2."/>
      <w:lvlJc w:val="left"/>
      <w:pPr>
        <w:ind w:left="405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542D10"/>
    <w:multiLevelType w:val="multilevel"/>
    <w:tmpl w:val="02ACE75A"/>
    <w:lvl w:ilvl="0">
      <w:start w:val="1"/>
      <w:numFmt w:val="upperLetter"/>
      <w:lvlText w:val="%1."/>
      <w:lvlJc w:val="left"/>
      <w:pPr>
        <w:ind w:left="720" w:hanging="432"/>
      </w:pPr>
      <w:rPr>
        <w:rFonts w:hint="default"/>
        <w:b/>
        <w:sz w:val="24"/>
        <w:szCs w:val="24"/>
      </w:rPr>
    </w:lvl>
    <w:lvl w:ilvl="1">
      <w:start w:val="1"/>
      <w:numFmt w:val="decimal"/>
      <w:lvlText w:val="%2."/>
      <w:lvlJc w:val="left"/>
      <w:pPr>
        <w:ind w:left="1152" w:hanging="432"/>
      </w:pPr>
      <w:rPr>
        <w:rFonts w:hint="default"/>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22" w15:restartNumberingAfterBreak="0">
    <w:nsid w:val="64E21010"/>
    <w:multiLevelType w:val="hybridMultilevel"/>
    <w:tmpl w:val="82FC9EDC"/>
    <w:lvl w:ilvl="0" w:tplc="0409001B">
      <w:start w:val="1"/>
      <w:numFmt w:val="lowerRoman"/>
      <w:lvlText w:val="%1."/>
      <w:lvlJc w:val="right"/>
      <w:pPr>
        <w:ind w:left="792" w:hanging="360"/>
      </w:pPr>
      <w:rPr>
        <w:rFonts w:hint="default"/>
        <w:b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68C17408"/>
    <w:multiLevelType w:val="hybridMultilevel"/>
    <w:tmpl w:val="4B067FA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A05F2"/>
    <w:multiLevelType w:val="multilevel"/>
    <w:tmpl w:val="F6AA8A72"/>
    <w:lvl w:ilvl="0">
      <w:start w:val="3"/>
      <w:numFmt w:val="none"/>
      <w:lvlText w:val="3"/>
      <w:lvlJc w:val="left"/>
      <w:pPr>
        <w:ind w:left="432" w:hanging="432"/>
      </w:pPr>
      <w:rPr>
        <w:rFonts w:hint="default"/>
      </w:rPr>
    </w:lvl>
    <w:lvl w:ilvl="1">
      <w:start w:val="1"/>
      <w:numFmt w:val="decimal"/>
      <w:pStyle w:val="Header31"/>
      <w:lvlText w:val="%13.%2"/>
      <w:lvlJc w:val="left"/>
      <w:pPr>
        <w:tabs>
          <w:tab w:val="num" w:pos="720"/>
        </w:tabs>
        <w:ind w:left="720" w:hanging="648"/>
      </w:pPr>
      <w:rPr>
        <w:rFonts w:hint="default"/>
      </w:rPr>
    </w:lvl>
    <w:lvl w:ilvl="2">
      <w:start w:val="1"/>
      <w:numFmt w:val="decimal"/>
      <w:lvlText w:val="%13.%2.%3"/>
      <w:lvlJc w:val="left"/>
      <w:pPr>
        <w:tabs>
          <w:tab w:val="num" w:pos="720"/>
        </w:tabs>
        <w:ind w:left="1152" w:hanging="432"/>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760" w:hanging="1440"/>
      </w:pPr>
      <w:rPr>
        <w:rFonts w:hint="default"/>
      </w:rPr>
    </w:lvl>
    <w:lvl w:ilvl="8">
      <w:start w:val="1"/>
      <w:numFmt w:val="decimal"/>
      <w:lvlText w:val="%1.%2.%3.%4.%5.%6.%7.%8.%9"/>
      <w:lvlJc w:val="left"/>
      <w:pPr>
        <w:ind w:left="6840" w:hanging="1800"/>
      </w:pPr>
      <w:rPr>
        <w:rFonts w:hint="default"/>
      </w:rPr>
    </w:lvl>
  </w:abstractNum>
  <w:abstractNum w:abstractNumId="25" w15:restartNumberingAfterBreak="0">
    <w:nsid w:val="71DE2CD1"/>
    <w:multiLevelType w:val="hybridMultilevel"/>
    <w:tmpl w:val="1476303C"/>
    <w:lvl w:ilvl="0" w:tplc="9E20ABB2">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24"/>
  </w:num>
  <w:num w:numId="4">
    <w:abstractNumId w:val="14"/>
  </w:num>
  <w:num w:numId="5">
    <w:abstractNumId w:val="7"/>
  </w:num>
  <w:num w:numId="6">
    <w:abstractNumId w:val="9"/>
  </w:num>
  <w:num w:numId="7">
    <w:abstractNumId w:val="10"/>
  </w:num>
  <w:num w:numId="8">
    <w:abstractNumId w:val="13"/>
  </w:num>
  <w:num w:numId="9">
    <w:abstractNumId w:val="12"/>
  </w:num>
  <w:num w:numId="10">
    <w:abstractNumId w:val="21"/>
  </w:num>
  <w:num w:numId="11">
    <w:abstractNumId w:val="25"/>
  </w:num>
  <w:num w:numId="12">
    <w:abstractNumId w:val="18"/>
  </w:num>
  <w:num w:numId="13">
    <w:abstractNumId w:val="20"/>
  </w:num>
  <w:num w:numId="14">
    <w:abstractNumId w:val="15"/>
  </w:num>
  <w:num w:numId="15">
    <w:abstractNumId w:val="19"/>
  </w:num>
  <w:num w:numId="16">
    <w:abstractNumId w:val="11"/>
  </w:num>
  <w:num w:numId="17">
    <w:abstractNumId w:val="8"/>
  </w:num>
  <w:num w:numId="18">
    <w:abstractNumId w:val="4"/>
  </w:num>
  <w:num w:numId="19">
    <w:abstractNumId w:val="3"/>
  </w:num>
  <w:num w:numId="20">
    <w:abstractNumId w:val="22"/>
  </w:num>
  <w:num w:numId="21">
    <w:abstractNumId w:val="16"/>
  </w:num>
  <w:num w:numId="22">
    <w:abstractNumId w:val="17"/>
  </w:num>
  <w:num w:numId="23">
    <w:abstractNumId w:val="23"/>
  </w:num>
  <w:num w:numId="24">
    <w:abstractNumId w:val="6"/>
  </w:num>
  <w:num w:numId="25">
    <w:abstractNumId w:val="1"/>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DCD"/>
    <w:rsid w:val="000078CE"/>
    <w:rsid w:val="00007FB3"/>
    <w:rsid w:val="000106E1"/>
    <w:rsid w:val="00011A99"/>
    <w:rsid w:val="00016F96"/>
    <w:rsid w:val="00021E4D"/>
    <w:rsid w:val="00021E63"/>
    <w:rsid w:val="00024569"/>
    <w:rsid w:val="000260A8"/>
    <w:rsid w:val="00032E85"/>
    <w:rsid w:val="000340EC"/>
    <w:rsid w:val="00040D90"/>
    <w:rsid w:val="00042030"/>
    <w:rsid w:val="00043235"/>
    <w:rsid w:val="0004500E"/>
    <w:rsid w:val="00046BAC"/>
    <w:rsid w:val="00047DA3"/>
    <w:rsid w:val="000523A2"/>
    <w:rsid w:val="00053895"/>
    <w:rsid w:val="00054EA0"/>
    <w:rsid w:val="00055CC4"/>
    <w:rsid w:val="00060E2F"/>
    <w:rsid w:val="0006736F"/>
    <w:rsid w:val="00070EF4"/>
    <w:rsid w:val="0007108E"/>
    <w:rsid w:val="000717F6"/>
    <w:rsid w:val="00072399"/>
    <w:rsid w:val="0007505F"/>
    <w:rsid w:val="00076A6C"/>
    <w:rsid w:val="000812DC"/>
    <w:rsid w:val="000835C5"/>
    <w:rsid w:val="00083CFE"/>
    <w:rsid w:val="00084477"/>
    <w:rsid w:val="000861B4"/>
    <w:rsid w:val="00086B1A"/>
    <w:rsid w:val="000A0827"/>
    <w:rsid w:val="000A3789"/>
    <w:rsid w:val="000A3D38"/>
    <w:rsid w:val="000A521C"/>
    <w:rsid w:val="000A7612"/>
    <w:rsid w:val="000A7C82"/>
    <w:rsid w:val="000B2816"/>
    <w:rsid w:val="000B3A06"/>
    <w:rsid w:val="000B5750"/>
    <w:rsid w:val="000B713D"/>
    <w:rsid w:val="000C168B"/>
    <w:rsid w:val="000C1E92"/>
    <w:rsid w:val="000C363A"/>
    <w:rsid w:val="000C6CE6"/>
    <w:rsid w:val="000D294C"/>
    <w:rsid w:val="000E30EF"/>
    <w:rsid w:val="000E58E9"/>
    <w:rsid w:val="000E6574"/>
    <w:rsid w:val="000E6FB4"/>
    <w:rsid w:val="000F11FD"/>
    <w:rsid w:val="000F36E0"/>
    <w:rsid w:val="00100248"/>
    <w:rsid w:val="0010125C"/>
    <w:rsid w:val="001051D7"/>
    <w:rsid w:val="00106012"/>
    <w:rsid w:val="0010706E"/>
    <w:rsid w:val="00107F3A"/>
    <w:rsid w:val="00112B46"/>
    <w:rsid w:val="001179B6"/>
    <w:rsid w:val="001278FF"/>
    <w:rsid w:val="00127972"/>
    <w:rsid w:val="001308FF"/>
    <w:rsid w:val="00135273"/>
    <w:rsid w:val="00136FCC"/>
    <w:rsid w:val="00137020"/>
    <w:rsid w:val="00137FC5"/>
    <w:rsid w:val="00140CA2"/>
    <w:rsid w:val="0014136C"/>
    <w:rsid w:val="00141CD3"/>
    <w:rsid w:val="001451E0"/>
    <w:rsid w:val="001463C6"/>
    <w:rsid w:val="001525EF"/>
    <w:rsid w:val="00153454"/>
    <w:rsid w:val="00153847"/>
    <w:rsid w:val="0015565E"/>
    <w:rsid w:val="00160840"/>
    <w:rsid w:val="00161B05"/>
    <w:rsid w:val="00161CD9"/>
    <w:rsid w:val="00164808"/>
    <w:rsid w:val="00164A49"/>
    <w:rsid w:val="00165BDC"/>
    <w:rsid w:val="00165FA2"/>
    <w:rsid w:val="0016634A"/>
    <w:rsid w:val="001749C1"/>
    <w:rsid w:val="00184708"/>
    <w:rsid w:val="0019128B"/>
    <w:rsid w:val="001A60D4"/>
    <w:rsid w:val="001B2D33"/>
    <w:rsid w:val="001C0F7F"/>
    <w:rsid w:val="001C5722"/>
    <w:rsid w:val="001C7CA5"/>
    <w:rsid w:val="001C7D0D"/>
    <w:rsid w:val="001D1478"/>
    <w:rsid w:val="001D647C"/>
    <w:rsid w:val="001E0A21"/>
    <w:rsid w:val="001E0F1E"/>
    <w:rsid w:val="001E150A"/>
    <w:rsid w:val="001E3133"/>
    <w:rsid w:val="001E4F76"/>
    <w:rsid w:val="001E5F3A"/>
    <w:rsid w:val="001F7876"/>
    <w:rsid w:val="002124A9"/>
    <w:rsid w:val="002136CE"/>
    <w:rsid w:val="00217295"/>
    <w:rsid w:val="00220FDF"/>
    <w:rsid w:val="00221675"/>
    <w:rsid w:val="00222573"/>
    <w:rsid w:val="00222701"/>
    <w:rsid w:val="0022556A"/>
    <w:rsid w:val="00227EB3"/>
    <w:rsid w:val="00230478"/>
    <w:rsid w:val="00235F19"/>
    <w:rsid w:val="002364C7"/>
    <w:rsid w:val="00237AD3"/>
    <w:rsid w:val="002446A6"/>
    <w:rsid w:val="0025010B"/>
    <w:rsid w:val="002515E8"/>
    <w:rsid w:val="00251FD9"/>
    <w:rsid w:val="00254C36"/>
    <w:rsid w:val="00255342"/>
    <w:rsid w:val="00255F7F"/>
    <w:rsid w:val="00266BD7"/>
    <w:rsid w:val="00267E17"/>
    <w:rsid w:val="00274B10"/>
    <w:rsid w:val="002752DF"/>
    <w:rsid w:val="00275495"/>
    <w:rsid w:val="00277DFF"/>
    <w:rsid w:val="00284BA2"/>
    <w:rsid w:val="00295290"/>
    <w:rsid w:val="0029568C"/>
    <w:rsid w:val="002A222D"/>
    <w:rsid w:val="002A2F78"/>
    <w:rsid w:val="002A3374"/>
    <w:rsid w:val="002A54F6"/>
    <w:rsid w:val="002B04EC"/>
    <w:rsid w:val="002B247E"/>
    <w:rsid w:val="002C2A82"/>
    <w:rsid w:val="002C561B"/>
    <w:rsid w:val="002C7DBA"/>
    <w:rsid w:val="002D1C11"/>
    <w:rsid w:val="002D2A58"/>
    <w:rsid w:val="002D4A97"/>
    <w:rsid w:val="002D4B27"/>
    <w:rsid w:val="002D5627"/>
    <w:rsid w:val="002D59DD"/>
    <w:rsid w:val="002E0670"/>
    <w:rsid w:val="002E0878"/>
    <w:rsid w:val="002E370B"/>
    <w:rsid w:val="002E3BC8"/>
    <w:rsid w:val="002E4836"/>
    <w:rsid w:val="002E67C0"/>
    <w:rsid w:val="002F1074"/>
    <w:rsid w:val="002F7AB9"/>
    <w:rsid w:val="002F7AF4"/>
    <w:rsid w:val="0030046F"/>
    <w:rsid w:val="00300D50"/>
    <w:rsid w:val="00300E3A"/>
    <w:rsid w:val="00305F9C"/>
    <w:rsid w:val="00312332"/>
    <w:rsid w:val="0031389C"/>
    <w:rsid w:val="00317DDE"/>
    <w:rsid w:val="00320969"/>
    <w:rsid w:val="003244BA"/>
    <w:rsid w:val="00325121"/>
    <w:rsid w:val="00332B2C"/>
    <w:rsid w:val="003337D3"/>
    <w:rsid w:val="00335625"/>
    <w:rsid w:val="00344D73"/>
    <w:rsid w:val="00350AEE"/>
    <w:rsid w:val="00352C0D"/>
    <w:rsid w:val="00364AB7"/>
    <w:rsid w:val="00370C82"/>
    <w:rsid w:val="003741B7"/>
    <w:rsid w:val="003743BD"/>
    <w:rsid w:val="0037724B"/>
    <w:rsid w:val="003778F6"/>
    <w:rsid w:val="00382571"/>
    <w:rsid w:val="00382F5E"/>
    <w:rsid w:val="00392480"/>
    <w:rsid w:val="0039274A"/>
    <w:rsid w:val="003979B8"/>
    <w:rsid w:val="003A0444"/>
    <w:rsid w:val="003A1308"/>
    <w:rsid w:val="003A5021"/>
    <w:rsid w:val="003B0AFF"/>
    <w:rsid w:val="003B4DC7"/>
    <w:rsid w:val="003B5699"/>
    <w:rsid w:val="003B6685"/>
    <w:rsid w:val="003C375F"/>
    <w:rsid w:val="003C5379"/>
    <w:rsid w:val="003C5838"/>
    <w:rsid w:val="003C72B5"/>
    <w:rsid w:val="003D74C4"/>
    <w:rsid w:val="003E3608"/>
    <w:rsid w:val="003E3E4E"/>
    <w:rsid w:val="003E47D6"/>
    <w:rsid w:val="003E49B7"/>
    <w:rsid w:val="003E5637"/>
    <w:rsid w:val="003E7D7D"/>
    <w:rsid w:val="003E7E3D"/>
    <w:rsid w:val="003F0DAF"/>
    <w:rsid w:val="003F128A"/>
    <w:rsid w:val="003F40A5"/>
    <w:rsid w:val="003F6B96"/>
    <w:rsid w:val="004000F3"/>
    <w:rsid w:val="00401551"/>
    <w:rsid w:val="004024AB"/>
    <w:rsid w:val="00410582"/>
    <w:rsid w:val="004118F9"/>
    <w:rsid w:val="00413B66"/>
    <w:rsid w:val="00415267"/>
    <w:rsid w:val="004167B7"/>
    <w:rsid w:val="00416F62"/>
    <w:rsid w:val="00423590"/>
    <w:rsid w:val="004240A8"/>
    <w:rsid w:val="00425CA6"/>
    <w:rsid w:val="0042726E"/>
    <w:rsid w:val="00427955"/>
    <w:rsid w:val="00430D56"/>
    <w:rsid w:val="0043258D"/>
    <w:rsid w:val="004342F3"/>
    <w:rsid w:val="00437A5C"/>
    <w:rsid w:val="00437DCE"/>
    <w:rsid w:val="00440832"/>
    <w:rsid w:val="00443911"/>
    <w:rsid w:val="004457AF"/>
    <w:rsid w:val="004461DE"/>
    <w:rsid w:val="004463E2"/>
    <w:rsid w:val="00446B22"/>
    <w:rsid w:val="00452A24"/>
    <w:rsid w:val="00457E54"/>
    <w:rsid w:val="00466D6C"/>
    <w:rsid w:val="00471509"/>
    <w:rsid w:val="00471F62"/>
    <w:rsid w:val="004753B6"/>
    <w:rsid w:val="004762BC"/>
    <w:rsid w:val="004762C1"/>
    <w:rsid w:val="0047798E"/>
    <w:rsid w:val="00482CE2"/>
    <w:rsid w:val="00483E51"/>
    <w:rsid w:val="00484B4B"/>
    <w:rsid w:val="00485BF9"/>
    <w:rsid w:val="00486A87"/>
    <w:rsid w:val="00487DAE"/>
    <w:rsid w:val="004900FC"/>
    <w:rsid w:val="0049177E"/>
    <w:rsid w:val="004918BA"/>
    <w:rsid w:val="0049227B"/>
    <w:rsid w:val="00495AAA"/>
    <w:rsid w:val="00496D8F"/>
    <w:rsid w:val="00497805"/>
    <w:rsid w:val="004A28B8"/>
    <w:rsid w:val="004A2E20"/>
    <w:rsid w:val="004A306F"/>
    <w:rsid w:val="004A3992"/>
    <w:rsid w:val="004A575F"/>
    <w:rsid w:val="004B34DE"/>
    <w:rsid w:val="004B552D"/>
    <w:rsid w:val="004B5B44"/>
    <w:rsid w:val="004C3B5B"/>
    <w:rsid w:val="004C3E19"/>
    <w:rsid w:val="004C55B2"/>
    <w:rsid w:val="004D11B3"/>
    <w:rsid w:val="004D3594"/>
    <w:rsid w:val="004D4EA9"/>
    <w:rsid w:val="004E0980"/>
    <w:rsid w:val="004E6543"/>
    <w:rsid w:val="004F0B27"/>
    <w:rsid w:val="004F0BD1"/>
    <w:rsid w:val="004F2624"/>
    <w:rsid w:val="004F350E"/>
    <w:rsid w:val="004F4EAD"/>
    <w:rsid w:val="0050130D"/>
    <w:rsid w:val="00502F41"/>
    <w:rsid w:val="005046E1"/>
    <w:rsid w:val="005055A5"/>
    <w:rsid w:val="00505D9A"/>
    <w:rsid w:val="0050697A"/>
    <w:rsid w:val="00507392"/>
    <w:rsid w:val="00510E80"/>
    <w:rsid w:val="00511C7D"/>
    <w:rsid w:val="0051406A"/>
    <w:rsid w:val="00517F7C"/>
    <w:rsid w:val="005238EE"/>
    <w:rsid w:val="00523BF6"/>
    <w:rsid w:val="00525EEA"/>
    <w:rsid w:val="00526C7C"/>
    <w:rsid w:val="00527BB1"/>
    <w:rsid w:val="0053079C"/>
    <w:rsid w:val="00531525"/>
    <w:rsid w:val="005332A8"/>
    <w:rsid w:val="00536767"/>
    <w:rsid w:val="005372B8"/>
    <w:rsid w:val="00537B3B"/>
    <w:rsid w:val="00540BD8"/>
    <w:rsid w:val="0054387C"/>
    <w:rsid w:val="00545797"/>
    <w:rsid w:val="00546060"/>
    <w:rsid w:val="00546F83"/>
    <w:rsid w:val="005502DC"/>
    <w:rsid w:val="0055311B"/>
    <w:rsid w:val="00554D55"/>
    <w:rsid w:val="00556275"/>
    <w:rsid w:val="00565FB4"/>
    <w:rsid w:val="00566C86"/>
    <w:rsid w:val="00571F70"/>
    <w:rsid w:val="005737AB"/>
    <w:rsid w:val="005742B3"/>
    <w:rsid w:val="00577207"/>
    <w:rsid w:val="00581DA7"/>
    <w:rsid w:val="00582DB6"/>
    <w:rsid w:val="00586333"/>
    <w:rsid w:val="005908FB"/>
    <w:rsid w:val="005911C7"/>
    <w:rsid w:val="00592F6D"/>
    <w:rsid w:val="00593149"/>
    <w:rsid w:val="005963A1"/>
    <w:rsid w:val="00597226"/>
    <w:rsid w:val="005A057A"/>
    <w:rsid w:val="005B0D02"/>
    <w:rsid w:val="005B25E7"/>
    <w:rsid w:val="005B45ED"/>
    <w:rsid w:val="005B7B47"/>
    <w:rsid w:val="005B7BE7"/>
    <w:rsid w:val="005C14B8"/>
    <w:rsid w:val="005C3F42"/>
    <w:rsid w:val="005C419C"/>
    <w:rsid w:val="005C5C27"/>
    <w:rsid w:val="005C5FD8"/>
    <w:rsid w:val="005D1044"/>
    <w:rsid w:val="005D318B"/>
    <w:rsid w:val="005D48D6"/>
    <w:rsid w:val="005D745D"/>
    <w:rsid w:val="005E0145"/>
    <w:rsid w:val="005E427C"/>
    <w:rsid w:val="005E745E"/>
    <w:rsid w:val="005F09E7"/>
    <w:rsid w:val="005F2636"/>
    <w:rsid w:val="005F4E0C"/>
    <w:rsid w:val="005F51DA"/>
    <w:rsid w:val="005F5675"/>
    <w:rsid w:val="005F70FB"/>
    <w:rsid w:val="00602E41"/>
    <w:rsid w:val="0061073E"/>
    <w:rsid w:val="00614BB0"/>
    <w:rsid w:val="00621732"/>
    <w:rsid w:val="0062380C"/>
    <w:rsid w:val="00627664"/>
    <w:rsid w:val="00634776"/>
    <w:rsid w:val="00635565"/>
    <w:rsid w:val="006357BB"/>
    <w:rsid w:val="0064217D"/>
    <w:rsid w:val="006467BD"/>
    <w:rsid w:val="006468E8"/>
    <w:rsid w:val="00646CF5"/>
    <w:rsid w:val="0064706A"/>
    <w:rsid w:val="00650B73"/>
    <w:rsid w:val="00654D21"/>
    <w:rsid w:val="00654DFD"/>
    <w:rsid w:val="006563D6"/>
    <w:rsid w:val="0065719B"/>
    <w:rsid w:val="0065796A"/>
    <w:rsid w:val="00660697"/>
    <w:rsid w:val="0066138A"/>
    <w:rsid w:val="00661402"/>
    <w:rsid w:val="006627CA"/>
    <w:rsid w:val="00664468"/>
    <w:rsid w:val="00672D7C"/>
    <w:rsid w:val="00682198"/>
    <w:rsid w:val="00683AFD"/>
    <w:rsid w:val="00685F7F"/>
    <w:rsid w:val="006877EE"/>
    <w:rsid w:val="00687E87"/>
    <w:rsid w:val="00687EEB"/>
    <w:rsid w:val="006909B1"/>
    <w:rsid w:val="00692B47"/>
    <w:rsid w:val="00693887"/>
    <w:rsid w:val="006946DC"/>
    <w:rsid w:val="00696582"/>
    <w:rsid w:val="00697187"/>
    <w:rsid w:val="006A05A6"/>
    <w:rsid w:val="006A5B76"/>
    <w:rsid w:val="006A7BB1"/>
    <w:rsid w:val="006B1C0E"/>
    <w:rsid w:val="006B2DDC"/>
    <w:rsid w:val="006B47CB"/>
    <w:rsid w:val="006B4D91"/>
    <w:rsid w:val="006B5A34"/>
    <w:rsid w:val="006B675C"/>
    <w:rsid w:val="006C322E"/>
    <w:rsid w:val="006C4798"/>
    <w:rsid w:val="006C5107"/>
    <w:rsid w:val="006C5AF0"/>
    <w:rsid w:val="006C5D16"/>
    <w:rsid w:val="006C708B"/>
    <w:rsid w:val="006D10BA"/>
    <w:rsid w:val="006D27A9"/>
    <w:rsid w:val="006E1D1B"/>
    <w:rsid w:val="006E2192"/>
    <w:rsid w:val="006E3DCB"/>
    <w:rsid w:val="006E3E5F"/>
    <w:rsid w:val="006E6A4A"/>
    <w:rsid w:val="006E6BD5"/>
    <w:rsid w:val="006F1745"/>
    <w:rsid w:val="006F7415"/>
    <w:rsid w:val="006F78EB"/>
    <w:rsid w:val="007012ED"/>
    <w:rsid w:val="00703F7D"/>
    <w:rsid w:val="00704110"/>
    <w:rsid w:val="0070456B"/>
    <w:rsid w:val="00707051"/>
    <w:rsid w:val="00712109"/>
    <w:rsid w:val="00713F1E"/>
    <w:rsid w:val="00714D1E"/>
    <w:rsid w:val="00714FCF"/>
    <w:rsid w:val="00717EC4"/>
    <w:rsid w:val="007200E9"/>
    <w:rsid w:val="007260A4"/>
    <w:rsid w:val="0072681B"/>
    <w:rsid w:val="00727371"/>
    <w:rsid w:val="0073310E"/>
    <w:rsid w:val="00733597"/>
    <w:rsid w:val="007340FA"/>
    <w:rsid w:val="00746313"/>
    <w:rsid w:val="00746CE3"/>
    <w:rsid w:val="00753137"/>
    <w:rsid w:val="00756F1C"/>
    <w:rsid w:val="00757A7A"/>
    <w:rsid w:val="00757DF5"/>
    <w:rsid w:val="00760B97"/>
    <w:rsid w:val="00761E49"/>
    <w:rsid w:val="0076299C"/>
    <w:rsid w:val="00772AC1"/>
    <w:rsid w:val="007806B4"/>
    <w:rsid w:val="00781B5B"/>
    <w:rsid w:val="00781E60"/>
    <w:rsid w:val="007821CE"/>
    <w:rsid w:val="00782392"/>
    <w:rsid w:val="00782FA7"/>
    <w:rsid w:val="00783D9D"/>
    <w:rsid w:val="00786F14"/>
    <w:rsid w:val="00794828"/>
    <w:rsid w:val="007A16B1"/>
    <w:rsid w:val="007A1C9C"/>
    <w:rsid w:val="007A302A"/>
    <w:rsid w:val="007B3950"/>
    <w:rsid w:val="007B41DB"/>
    <w:rsid w:val="007B4D28"/>
    <w:rsid w:val="007C1293"/>
    <w:rsid w:val="007C1471"/>
    <w:rsid w:val="007C562A"/>
    <w:rsid w:val="007D072E"/>
    <w:rsid w:val="007D24DD"/>
    <w:rsid w:val="007D3619"/>
    <w:rsid w:val="007D3AC6"/>
    <w:rsid w:val="007E2E0D"/>
    <w:rsid w:val="007E34CC"/>
    <w:rsid w:val="007E66B7"/>
    <w:rsid w:val="007E75D8"/>
    <w:rsid w:val="007E7BC1"/>
    <w:rsid w:val="007F43B3"/>
    <w:rsid w:val="007F5B93"/>
    <w:rsid w:val="007F7A05"/>
    <w:rsid w:val="008018C8"/>
    <w:rsid w:val="00802165"/>
    <w:rsid w:val="00802EAD"/>
    <w:rsid w:val="00803118"/>
    <w:rsid w:val="00806128"/>
    <w:rsid w:val="00807BAA"/>
    <w:rsid w:val="008109D6"/>
    <w:rsid w:val="00810C00"/>
    <w:rsid w:val="00812351"/>
    <w:rsid w:val="00813B0B"/>
    <w:rsid w:val="00814224"/>
    <w:rsid w:val="00815B62"/>
    <w:rsid w:val="00825870"/>
    <w:rsid w:val="008267A6"/>
    <w:rsid w:val="00832283"/>
    <w:rsid w:val="008335A4"/>
    <w:rsid w:val="008338A6"/>
    <w:rsid w:val="00835C16"/>
    <w:rsid w:val="00837151"/>
    <w:rsid w:val="00842FA8"/>
    <w:rsid w:val="00843C8D"/>
    <w:rsid w:val="00844502"/>
    <w:rsid w:val="00846A23"/>
    <w:rsid w:val="008520F1"/>
    <w:rsid w:val="008529CE"/>
    <w:rsid w:val="00854092"/>
    <w:rsid w:val="00854AC4"/>
    <w:rsid w:val="008601D9"/>
    <w:rsid w:val="00860E54"/>
    <w:rsid w:val="00861A03"/>
    <w:rsid w:val="0086324D"/>
    <w:rsid w:val="00863EC4"/>
    <w:rsid w:val="00876FAD"/>
    <w:rsid w:val="00877592"/>
    <w:rsid w:val="0087796A"/>
    <w:rsid w:val="008812FA"/>
    <w:rsid w:val="0088373E"/>
    <w:rsid w:val="00886B32"/>
    <w:rsid w:val="00887E42"/>
    <w:rsid w:val="00890D55"/>
    <w:rsid w:val="0089514C"/>
    <w:rsid w:val="00895E1D"/>
    <w:rsid w:val="008A0A8A"/>
    <w:rsid w:val="008A175E"/>
    <w:rsid w:val="008A1A93"/>
    <w:rsid w:val="008A1D8C"/>
    <w:rsid w:val="008C15A4"/>
    <w:rsid w:val="008C61B2"/>
    <w:rsid w:val="008C6500"/>
    <w:rsid w:val="008D1C94"/>
    <w:rsid w:val="008D3122"/>
    <w:rsid w:val="008D3849"/>
    <w:rsid w:val="008D54A9"/>
    <w:rsid w:val="008D5A57"/>
    <w:rsid w:val="008D6CE7"/>
    <w:rsid w:val="008D73F1"/>
    <w:rsid w:val="008E1584"/>
    <w:rsid w:val="008E7689"/>
    <w:rsid w:val="008F0B95"/>
    <w:rsid w:val="008F16C0"/>
    <w:rsid w:val="008F68F0"/>
    <w:rsid w:val="008F6B4C"/>
    <w:rsid w:val="009015C1"/>
    <w:rsid w:val="00902893"/>
    <w:rsid w:val="009031C1"/>
    <w:rsid w:val="00905855"/>
    <w:rsid w:val="00906DD4"/>
    <w:rsid w:val="00914AA4"/>
    <w:rsid w:val="00924BEA"/>
    <w:rsid w:val="00925582"/>
    <w:rsid w:val="0093022C"/>
    <w:rsid w:val="00930747"/>
    <w:rsid w:val="00930B12"/>
    <w:rsid w:val="009316F5"/>
    <w:rsid w:val="009319CB"/>
    <w:rsid w:val="00935825"/>
    <w:rsid w:val="00935A9F"/>
    <w:rsid w:val="00935B2B"/>
    <w:rsid w:val="00941B1F"/>
    <w:rsid w:val="00942B92"/>
    <w:rsid w:val="009452E6"/>
    <w:rsid w:val="00955A19"/>
    <w:rsid w:val="009649E8"/>
    <w:rsid w:val="0096508E"/>
    <w:rsid w:val="00967FD1"/>
    <w:rsid w:val="00970F66"/>
    <w:rsid w:val="00970F6A"/>
    <w:rsid w:val="00972955"/>
    <w:rsid w:val="0097472E"/>
    <w:rsid w:val="009759A0"/>
    <w:rsid w:val="009812FF"/>
    <w:rsid w:val="00987FF8"/>
    <w:rsid w:val="00992B15"/>
    <w:rsid w:val="009936E6"/>
    <w:rsid w:val="00996CEC"/>
    <w:rsid w:val="009A0E0B"/>
    <w:rsid w:val="009A4EEE"/>
    <w:rsid w:val="009A59AD"/>
    <w:rsid w:val="009A72C3"/>
    <w:rsid w:val="009A75B8"/>
    <w:rsid w:val="009B57FC"/>
    <w:rsid w:val="009C0E6B"/>
    <w:rsid w:val="009C1212"/>
    <w:rsid w:val="009C203B"/>
    <w:rsid w:val="009C6007"/>
    <w:rsid w:val="009C6CCE"/>
    <w:rsid w:val="009C78B9"/>
    <w:rsid w:val="009C7C91"/>
    <w:rsid w:val="009E0044"/>
    <w:rsid w:val="009E2D50"/>
    <w:rsid w:val="009E5B6D"/>
    <w:rsid w:val="009F408A"/>
    <w:rsid w:val="009F4410"/>
    <w:rsid w:val="009F595D"/>
    <w:rsid w:val="009F6647"/>
    <w:rsid w:val="009F79CA"/>
    <w:rsid w:val="009F7A87"/>
    <w:rsid w:val="00A00C92"/>
    <w:rsid w:val="00A032D5"/>
    <w:rsid w:val="00A03F1F"/>
    <w:rsid w:val="00A04AE0"/>
    <w:rsid w:val="00A04D6D"/>
    <w:rsid w:val="00A0612D"/>
    <w:rsid w:val="00A126D1"/>
    <w:rsid w:val="00A14DCD"/>
    <w:rsid w:val="00A1754A"/>
    <w:rsid w:val="00A21103"/>
    <w:rsid w:val="00A25539"/>
    <w:rsid w:val="00A25A10"/>
    <w:rsid w:val="00A25C81"/>
    <w:rsid w:val="00A26EB9"/>
    <w:rsid w:val="00A2779C"/>
    <w:rsid w:val="00A2793B"/>
    <w:rsid w:val="00A31341"/>
    <w:rsid w:val="00A31F3B"/>
    <w:rsid w:val="00A35B2A"/>
    <w:rsid w:val="00A370B6"/>
    <w:rsid w:val="00A426AE"/>
    <w:rsid w:val="00A440FE"/>
    <w:rsid w:val="00A46AC0"/>
    <w:rsid w:val="00A47B76"/>
    <w:rsid w:val="00A576E6"/>
    <w:rsid w:val="00A625BF"/>
    <w:rsid w:val="00A66361"/>
    <w:rsid w:val="00A67320"/>
    <w:rsid w:val="00A724EB"/>
    <w:rsid w:val="00A7300B"/>
    <w:rsid w:val="00A75B3D"/>
    <w:rsid w:val="00A843AE"/>
    <w:rsid w:val="00A86843"/>
    <w:rsid w:val="00A9429B"/>
    <w:rsid w:val="00A9539C"/>
    <w:rsid w:val="00A95595"/>
    <w:rsid w:val="00AA0793"/>
    <w:rsid w:val="00AA0F19"/>
    <w:rsid w:val="00AA706A"/>
    <w:rsid w:val="00AB066E"/>
    <w:rsid w:val="00AB2809"/>
    <w:rsid w:val="00AB3548"/>
    <w:rsid w:val="00AB4A31"/>
    <w:rsid w:val="00AB5CC3"/>
    <w:rsid w:val="00AC2706"/>
    <w:rsid w:val="00AC2E23"/>
    <w:rsid w:val="00AC45A2"/>
    <w:rsid w:val="00AD131C"/>
    <w:rsid w:val="00AD3B35"/>
    <w:rsid w:val="00AE1DC1"/>
    <w:rsid w:val="00AE31B1"/>
    <w:rsid w:val="00AE4AF6"/>
    <w:rsid w:val="00AE4C3B"/>
    <w:rsid w:val="00AE5198"/>
    <w:rsid w:val="00AF3F2C"/>
    <w:rsid w:val="00AF4ADD"/>
    <w:rsid w:val="00AF4ED9"/>
    <w:rsid w:val="00B017D8"/>
    <w:rsid w:val="00B02DB1"/>
    <w:rsid w:val="00B04906"/>
    <w:rsid w:val="00B04AA7"/>
    <w:rsid w:val="00B06162"/>
    <w:rsid w:val="00B06AF7"/>
    <w:rsid w:val="00B11ED5"/>
    <w:rsid w:val="00B15DD8"/>
    <w:rsid w:val="00B20882"/>
    <w:rsid w:val="00B20DBC"/>
    <w:rsid w:val="00B21DFE"/>
    <w:rsid w:val="00B22898"/>
    <w:rsid w:val="00B22C52"/>
    <w:rsid w:val="00B232DC"/>
    <w:rsid w:val="00B2638B"/>
    <w:rsid w:val="00B263AD"/>
    <w:rsid w:val="00B328F5"/>
    <w:rsid w:val="00B32F04"/>
    <w:rsid w:val="00B34A71"/>
    <w:rsid w:val="00B35920"/>
    <w:rsid w:val="00B3704D"/>
    <w:rsid w:val="00B43686"/>
    <w:rsid w:val="00B4509E"/>
    <w:rsid w:val="00B50884"/>
    <w:rsid w:val="00B53822"/>
    <w:rsid w:val="00B61819"/>
    <w:rsid w:val="00B64FDC"/>
    <w:rsid w:val="00B65440"/>
    <w:rsid w:val="00B65E5F"/>
    <w:rsid w:val="00B663E3"/>
    <w:rsid w:val="00B67312"/>
    <w:rsid w:val="00B674C4"/>
    <w:rsid w:val="00B700DE"/>
    <w:rsid w:val="00B75B00"/>
    <w:rsid w:val="00B75D8C"/>
    <w:rsid w:val="00B81D21"/>
    <w:rsid w:val="00B86A89"/>
    <w:rsid w:val="00B86B1D"/>
    <w:rsid w:val="00B966CF"/>
    <w:rsid w:val="00BA1A07"/>
    <w:rsid w:val="00BA3776"/>
    <w:rsid w:val="00BA5A14"/>
    <w:rsid w:val="00BA63D8"/>
    <w:rsid w:val="00BA6CD0"/>
    <w:rsid w:val="00BB0AA7"/>
    <w:rsid w:val="00BB0DED"/>
    <w:rsid w:val="00BB1A6A"/>
    <w:rsid w:val="00BB33E7"/>
    <w:rsid w:val="00BB7BEC"/>
    <w:rsid w:val="00BC0847"/>
    <w:rsid w:val="00BC463B"/>
    <w:rsid w:val="00BD098A"/>
    <w:rsid w:val="00BD467A"/>
    <w:rsid w:val="00BE2152"/>
    <w:rsid w:val="00BE75ED"/>
    <w:rsid w:val="00BE7604"/>
    <w:rsid w:val="00BF09A3"/>
    <w:rsid w:val="00BF27DA"/>
    <w:rsid w:val="00BF3A11"/>
    <w:rsid w:val="00BF42C4"/>
    <w:rsid w:val="00BF4D65"/>
    <w:rsid w:val="00BF5A70"/>
    <w:rsid w:val="00BF5F41"/>
    <w:rsid w:val="00C01492"/>
    <w:rsid w:val="00C05BC7"/>
    <w:rsid w:val="00C11543"/>
    <w:rsid w:val="00C1197B"/>
    <w:rsid w:val="00C13D75"/>
    <w:rsid w:val="00C152DE"/>
    <w:rsid w:val="00C207F2"/>
    <w:rsid w:val="00C22A84"/>
    <w:rsid w:val="00C26E41"/>
    <w:rsid w:val="00C400EF"/>
    <w:rsid w:val="00C40E58"/>
    <w:rsid w:val="00C42504"/>
    <w:rsid w:val="00C43EC5"/>
    <w:rsid w:val="00C4510F"/>
    <w:rsid w:val="00C47DFE"/>
    <w:rsid w:val="00C569F1"/>
    <w:rsid w:val="00C56CF6"/>
    <w:rsid w:val="00C64031"/>
    <w:rsid w:val="00C67DD5"/>
    <w:rsid w:val="00C72AD7"/>
    <w:rsid w:val="00C72F8D"/>
    <w:rsid w:val="00C73D83"/>
    <w:rsid w:val="00C75710"/>
    <w:rsid w:val="00C75A75"/>
    <w:rsid w:val="00C77595"/>
    <w:rsid w:val="00C83873"/>
    <w:rsid w:val="00C83ECB"/>
    <w:rsid w:val="00C87A39"/>
    <w:rsid w:val="00C93295"/>
    <w:rsid w:val="00C95D26"/>
    <w:rsid w:val="00CA00AB"/>
    <w:rsid w:val="00CA6A59"/>
    <w:rsid w:val="00CA6C89"/>
    <w:rsid w:val="00CA71E6"/>
    <w:rsid w:val="00CA79EC"/>
    <w:rsid w:val="00CA7E77"/>
    <w:rsid w:val="00CB2BE8"/>
    <w:rsid w:val="00CB547C"/>
    <w:rsid w:val="00CC17B3"/>
    <w:rsid w:val="00CC5075"/>
    <w:rsid w:val="00CC6247"/>
    <w:rsid w:val="00CD4FD0"/>
    <w:rsid w:val="00CD7604"/>
    <w:rsid w:val="00CE0A15"/>
    <w:rsid w:val="00CE10AD"/>
    <w:rsid w:val="00CE4848"/>
    <w:rsid w:val="00CE6C15"/>
    <w:rsid w:val="00CE7B6A"/>
    <w:rsid w:val="00CF2820"/>
    <w:rsid w:val="00CF5267"/>
    <w:rsid w:val="00D00BD0"/>
    <w:rsid w:val="00D0310A"/>
    <w:rsid w:val="00D03E38"/>
    <w:rsid w:val="00D1058F"/>
    <w:rsid w:val="00D118F9"/>
    <w:rsid w:val="00D1495D"/>
    <w:rsid w:val="00D230D0"/>
    <w:rsid w:val="00D24C3F"/>
    <w:rsid w:val="00D24FD2"/>
    <w:rsid w:val="00D25A6A"/>
    <w:rsid w:val="00D26FDE"/>
    <w:rsid w:val="00D27A23"/>
    <w:rsid w:val="00D31402"/>
    <w:rsid w:val="00D3733D"/>
    <w:rsid w:val="00D416D3"/>
    <w:rsid w:val="00D4428E"/>
    <w:rsid w:val="00D4444D"/>
    <w:rsid w:val="00D445C7"/>
    <w:rsid w:val="00D5181F"/>
    <w:rsid w:val="00D53FE2"/>
    <w:rsid w:val="00D5453A"/>
    <w:rsid w:val="00D579EC"/>
    <w:rsid w:val="00D57E21"/>
    <w:rsid w:val="00D60282"/>
    <w:rsid w:val="00D628D0"/>
    <w:rsid w:val="00D636FF"/>
    <w:rsid w:val="00D64B93"/>
    <w:rsid w:val="00D717C4"/>
    <w:rsid w:val="00D72BBE"/>
    <w:rsid w:val="00D753F2"/>
    <w:rsid w:val="00D7581E"/>
    <w:rsid w:val="00D7696E"/>
    <w:rsid w:val="00D85931"/>
    <w:rsid w:val="00D85985"/>
    <w:rsid w:val="00D875ED"/>
    <w:rsid w:val="00D90CED"/>
    <w:rsid w:val="00D920AF"/>
    <w:rsid w:val="00D97DC0"/>
    <w:rsid w:val="00DA182A"/>
    <w:rsid w:val="00DA7BF6"/>
    <w:rsid w:val="00DB275A"/>
    <w:rsid w:val="00DB5E6E"/>
    <w:rsid w:val="00DC0311"/>
    <w:rsid w:val="00DC067F"/>
    <w:rsid w:val="00DC5FF9"/>
    <w:rsid w:val="00DD006D"/>
    <w:rsid w:val="00DD13A3"/>
    <w:rsid w:val="00DD4435"/>
    <w:rsid w:val="00DD4677"/>
    <w:rsid w:val="00DE252A"/>
    <w:rsid w:val="00DE7439"/>
    <w:rsid w:val="00DE7475"/>
    <w:rsid w:val="00DE7F2F"/>
    <w:rsid w:val="00DF1E82"/>
    <w:rsid w:val="00DF45BB"/>
    <w:rsid w:val="00DF6294"/>
    <w:rsid w:val="00DF6B86"/>
    <w:rsid w:val="00E00231"/>
    <w:rsid w:val="00E018D4"/>
    <w:rsid w:val="00E028D1"/>
    <w:rsid w:val="00E05AF2"/>
    <w:rsid w:val="00E06E47"/>
    <w:rsid w:val="00E075C9"/>
    <w:rsid w:val="00E1038E"/>
    <w:rsid w:val="00E148BB"/>
    <w:rsid w:val="00E176EF"/>
    <w:rsid w:val="00E21656"/>
    <w:rsid w:val="00E26869"/>
    <w:rsid w:val="00E3171D"/>
    <w:rsid w:val="00E31DB7"/>
    <w:rsid w:val="00E32D7D"/>
    <w:rsid w:val="00E33167"/>
    <w:rsid w:val="00E366FF"/>
    <w:rsid w:val="00E3707B"/>
    <w:rsid w:val="00E4490D"/>
    <w:rsid w:val="00E454CD"/>
    <w:rsid w:val="00E50374"/>
    <w:rsid w:val="00E52412"/>
    <w:rsid w:val="00E533BD"/>
    <w:rsid w:val="00E56417"/>
    <w:rsid w:val="00E56DF1"/>
    <w:rsid w:val="00E60208"/>
    <w:rsid w:val="00E614B2"/>
    <w:rsid w:val="00E63062"/>
    <w:rsid w:val="00E67025"/>
    <w:rsid w:val="00E72A84"/>
    <w:rsid w:val="00E73106"/>
    <w:rsid w:val="00E741C0"/>
    <w:rsid w:val="00E7614D"/>
    <w:rsid w:val="00E80FC9"/>
    <w:rsid w:val="00E841E5"/>
    <w:rsid w:val="00E873A4"/>
    <w:rsid w:val="00EA2D3C"/>
    <w:rsid w:val="00EA4DE1"/>
    <w:rsid w:val="00EB2684"/>
    <w:rsid w:val="00EB3454"/>
    <w:rsid w:val="00EB5347"/>
    <w:rsid w:val="00EC2725"/>
    <w:rsid w:val="00EC29D4"/>
    <w:rsid w:val="00EC5BC9"/>
    <w:rsid w:val="00ED3EFE"/>
    <w:rsid w:val="00ED7552"/>
    <w:rsid w:val="00EE5BCF"/>
    <w:rsid w:val="00EF4292"/>
    <w:rsid w:val="00EF6330"/>
    <w:rsid w:val="00EF6F72"/>
    <w:rsid w:val="00EF7D18"/>
    <w:rsid w:val="00F00094"/>
    <w:rsid w:val="00F0290F"/>
    <w:rsid w:val="00F071F8"/>
    <w:rsid w:val="00F11F3E"/>
    <w:rsid w:val="00F17071"/>
    <w:rsid w:val="00F212AA"/>
    <w:rsid w:val="00F255BC"/>
    <w:rsid w:val="00F3181C"/>
    <w:rsid w:val="00F32252"/>
    <w:rsid w:val="00F410FA"/>
    <w:rsid w:val="00F415AC"/>
    <w:rsid w:val="00F42D3E"/>
    <w:rsid w:val="00F4418B"/>
    <w:rsid w:val="00F44B69"/>
    <w:rsid w:val="00F505F6"/>
    <w:rsid w:val="00F50EB7"/>
    <w:rsid w:val="00F543EA"/>
    <w:rsid w:val="00F57410"/>
    <w:rsid w:val="00F611F2"/>
    <w:rsid w:val="00F618B5"/>
    <w:rsid w:val="00F6208A"/>
    <w:rsid w:val="00F63693"/>
    <w:rsid w:val="00F67C0B"/>
    <w:rsid w:val="00F73C34"/>
    <w:rsid w:val="00F7524A"/>
    <w:rsid w:val="00F81FE6"/>
    <w:rsid w:val="00F82FCB"/>
    <w:rsid w:val="00F84870"/>
    <w:rsid w:val="00F86340"/>
    <w:rsid w:val="00F86518"/>
    <w:rsid w:val="00F92985"/>
    <w:rsid w:val="00F93444"/>
    <w:rsid w:val="00F93D78"/>
    <w:rsid w:val="00F95447"/>
    <w:rsid w:val="00F9671B"/>
    <w:rsid w:val="00F9748E"/>
    <w:rsid w:val="00FA58F0"/>
    <w:rsid w:val="00FA5CB8"/>
    <w:rsid w:val="00FB1852"/>
    <w:rsid w:val="00FB4D65"/>
    <w:rsid w:val="00FB5D7F"/>
    <w:rsid w:val="00FC04D8"/>
    <w:rsid w:val="00FC0ED1"/>
    <w:rsid w:val="00FC1BE7"/>
    <w:rsid w:val="00FC6CD1"/>
    <w:rsid w:val="00FD04A5"/>
    <w:rsid w:val="00FD0C27"/>
    <w:rsid w:val="00FD155D"/>
    <w:rsid w:val="00FD1E13"/>
    <w:rsid w:val="00FD1FAC"/>
    <w:rsid w:val="00FD62F7"/>
    <w:rsid w:val="00FE02F4"/>
    <w:rsid w:val="00FE29D3"/>
    <w:rsid w:val="00FE5546"/>
    <w:rsid w:val="00FF1C34"/>
    <w:rsid w:val="00FF3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57C48E"/>
  <w15:docId w15:val="{8505B806-C88B-45C8-84CE-D4B2B94A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AFF"/>
    <w:pPr>
      <w:spacing w:after="200" w:line="276" w:lineRule="auto"/>
    </w:pPr>
    <w:rPr>
      <w:rFonts w:ascii="Times New Roman" w:eastAsia="Calibri" w:hAnsi="Times New Roman" w:cs="Times New Roman"/>
      <w:sz w:val="24"/>
    </w:rPr>
  </w:style>
  <w:style w:type="paragraph" w:styleId="Heading1">
    <w:name w:val="heading 1"/>
    <w:basedOn w:val="Normal"/>
    <w:next w:val="Normal"/>
    <w:link w:val="Heading1Char"/>
    <w:uiPriority w:val="99"/>
    <w:qFormat/>
    <w:rsid w:val="00A14DCD"/>
    <w:pPr>
      <w:keepNext/>
      <w:spacing w:after="0" w:line="240" w:lineRule="auto"/>
      <w:outlineLvl w:val="0"/>
    </w:pPr>
    <w:rPr>
      <w:rFonts w:eastAsia="Times New Roman"/>
      <w:b/>
      <w:smallCaps/>
      <w:sz w:val="36"/>
      <w:szCs w:val="24"/>
    </w:rPr>
  </w:style>
  <w:style w:type="paragraph" w:styleId="Heading2">
    <w:name w:val="heading 2"/>
    <w:basedOn w:val="Normal"/>
    <w:next w:val="Normal"/>
    <w:link w:val="Heading2Char"/>
    <w:uiPriority w:val="9"/>
    <w:qFormat/>
    <w:rsid w:val="00A14DCD"/>
    <w:pPr>
      <w:keepNext/>
      <w:keepLines/>
      <w:numPr>
        <w:ilvl w:val="1"/>
        <w:numId w:val="2"/>
      </w:numPr>
      <w:spacing w:before="320" w:after="120" w:line="360" w:lineRule="auto"/>
      <w:outlineLvl w:val="1"/>
    </w:pPr>
    <w:rPr>
      <w:rFonts w:eastAsia="Times New Roman"/>
      <w:b/>
      <w:bCs/>
      <w:sz w:val="26"/>
      <w:szCs w:val="26"/>
      <w:u w:val="single"/>
    </w:rPr>
  </w:style>
  <w:style w:type="paragraph" w:styleId="Heading3">
    <w:name w:val="heading 3"/>
    <w:basedOn w:val="Normal"/>
    <w:next w:val="Normal"/>
    <w:link w:val="Heading3Char"/>
    <w:uiPriority w:val="99"/>
    <w:qFormat/>
    <w:rsid w:val="00A14DCD"/>
    <w:pPr>
      <w:keepNext/>
      <w:keepLines/>
      <w:spacing w:before="200" w:after="0"/>
      <w:outlineLvl w:val="2"/>
    </w:pPr>
    <w:rPr>
      <w:rFonts w:eastAsia="Times New Roman"/>
      <w:b/>
      <w:bCs/>
    </w:rPr>
  </w:style>
  <w:style w:type="paragraph" w:styleId="Heading4">
    <w:name w:val="heading 4"/>
    <w:basedOn w:val="Normal"/>
    <w:next w:val="Normal"/>
    <w:link w:val="Heading4Char"/>
    <w:uiPriority w:val="9"/>
    <w:unhideWhenUsed/>
    <w:qFormat/>
    <w:rsid w:val="00A14DCD"/>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link w:val="Heading5Char"/>
    <w:uiPriority w:val="9"/>
    <w:qFormat/>
    <w:rsid w:val="00A14DCD"/>
    <w:pPr>
      <w:spacing w:before="100" w:beforeAutospacing="1" w:after="100" w:afterAutospacing="1" w:line="240" w:lineRule="auto"/>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14DCD"/>
    <w:rPr>
      <w:rFonts w:ascii="Times New Roman" w:eastAsia="Times New Roman" w:hAnsi="Times New Roman" w:cs="Times New Roman"/>
      <w:b/>
      <w:smallCaps/>
      <w:sz w:val="36"/>
      <w:szCs w:val="24"/>
    </w:rPr>
  </w:style>
  <w:style w:type="character" w:customStyle="1" w:styleId="Heading2Char">
    <w:name w:val="Heading 2 Char"/>
    <w:basedOn w:val="DefaultParagraphFont"/>
    <w:link w:val="Heading2"/>
    <w:uiPriority w:val="9"/>
    <w:rsid w:val="00A14DCD"/>
    <w:rPr>
      <w:rFonts w:ascii="Times New Roman" w:eastAsia="Times New Roman" w:hAnsi="Times New Roman" w:cs="Times New Roman"/>
      <w:b/>
      <w:bCs/>
      <w:sz w:val="26"/>
      <w:szCs w:val="26"/>
      <w:u w:val="single"/>
    </w:rPr>
  </w:style>
  <w:style w:type="character" w:customStyle="1" w:styleId="Heading3Char">
    <w:name w:val="Heading 3 Char"/>
    <w:basedOn w:val="DefaultParagraphFont"/>
    <w:link w:val="Heading3"/>
    <w:uiPriority w:val="99"/>
    <w:rsid w:val="00A14DCD"/>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
    <w:rsid w:val="00A14DCD"/>
    <w:rPr>
      <w:rFonts w:asciiTheme="majorHAnsi" w:eastAsiaTheme="majorEastAsia" w:hAnsiTheme="majorHAnsi" w:cstheme="majorBidi"/>
      <w:b/>
      <w:bCs/>
      <w:i/>
      <w:iCs/>
      <w:color w:val="4472C4" w:themeColor="accent1"/>
      <w:sz w:val="24"/>
    </w:rPr>
  </w:style>
  <w:style w:type="character" w:customStyle="1" w:styleId="Heading5Char">
    <w:name w:val="Heading 5 Char"/>
    <w:basedOn w:val="DefaultParagraphFont"/>
    <w:link w:val="Heading5"/>
    <w:uiPriority w:val="9"/>
    <w:rsid w:val="00A14DC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14DCD"/>
    <w:rPr>
      <w:rFonts w:ascii="Tahoma" w:hAnsi="Tahoma" w:cs="Tahoma"/>
      <w:sz w:val="16"/>
      <w:szCs w:val="16"/>
    </w:rPr>
  </w:style>
  <w:style w:type="character" w:customStyle="1" w:styleId="BalloonTextChar">
    <w:name w:val="Balloon Text Char"/>
    <w:basedOn w:val="DefaultParagraphFont"/>
    <w:link w:val="BalloonText"/>
    <w:uiPriority w:val="99"/>
    <w:semiHidden/>
    <w:rsid w:val="00A14DCD"/>
    <w:rPr>
      <w:rFonts w:ascii="Tahoma" w:eastAsia="Calibri" w:hAnsi="Tahoma" w:cs="Tahoma"/>
      <w:sz w:val="16"/>
      <w:szCs w:val="16"/>
    </w:rPr>
  </w:style>
  <w:style w:type="character" w:customStyle="1" w:styleId="BalloonTextChar3">
    <w:name w:val="Balloon Text Char3"/>
    <w:basedOn w:val="DefaultParagraphFont"/>
    <w:uiPriority w:val="99"/>
    <w:semiHidden/>
    <w:rsid w:val="00A14DCD"/>
    <w:rPr>
      <w:rFonts w:ascii="Lucida Grande" w:hAnsi="Lucida Grande" w:cs="Times New Roman"/>
      <w:sz w:val="18"/>
    </w:rPr>
  </w:style>
  <w:style w:type="paragraph" w:styleId="ListParagraph">
    <w:name w:val="List Paragraph"/>
    <w:aliases w:val="LAR NOFA"/>
    <w:basedOn w:val="Normal"/>
    <w:uiPriority w:val="34"/>
    <w:qFormat/>
    <w:rsid w:val="00A14DCD"/>
    <w:pPr>
      <w:ind w:left="720"/>
      <w:contextualSpacing/>
    </w:pPr>
    <w:rPr>
      <w:sz w:val="20"/>
      <w:szCs w:val="20"/>
    </w:rPr>
  </w:style>
  <w:style w:type="character" w:customStyle="1" w:styleId="ListParagraphChar">
    <w:name w:val="List Paragraph Char"/>
    <w:aliases w:val="LAR NOFA Char"/>
    <w:uiPriority w:val="34"/>
    <w:rsid w:val="00A14DCD"/>
    <w:rPr>
      <w:rFonts w:ascii="Calibri" w:hAnsi="Calibri"/>
    </w:rPr>
  </w:style>
  <w:style w:type="character" w:styleId="Hyperlink">
    <w:name w:val="Hyperlink"/>
    <w:basedOn w:val="DefaultParagraphFont"/>
    <w:uiPriority w:val="99"/>
    <w:rsid w:val="00A14DCD"/>
    <w:rPr>
      <w:rFonts w:cs="Times New Roman"/>
      <w:color w:val="0000FF"/>
      <w:u w:val="single"/>
    </w:rPr>
  </w:style>
  <w:style w:type="character" w:customStyle="1" w:styleId="BodyText2Char">
    <w:name w:val="Body Text 2 Char"/>
    <w:basedOn w:val="DefaultParagraphFont"/>
    <w:link w:val="BodyText2"/>
    <w:uiPriority w:val="99"/>
    <w:semiHidden/>
    <w:rsid w:val="00A14DCD"/>
    <w:rPr>
      <w:rFonts w:ascii="Times New Roman" w:eastAsia="Times New Roman" w:hAnsi="Times New Roman" w:cs="Times New Roman"/>
      <w:sz w:val="24"/>
      <w:szCs w:val="20"/>
    </w:rPr>
  </w:style>
  <w:style w:type="paragraph" w:styleId="BodyText2">
    <w:name w:val="Body Text 2"/>
    <w:basedOn w:val="Normal"/>
    <w:link w:val="BodyText2Char"/>
    <w:uiPriority w:val="99"/>
    <w:semiHidden/>
    <w:rsid w:val="00A14DCD"/>
    <w:pPr>
      <w:spacing w:after="0" w:line="240" w:lineRule="auto"/>
      <w:ind w:left="900" w:hanging="900"/>
    </w:pPr>
    <w:rPr>
      <w:rFonts w:eastAsia="Times New Roman"/>
      <w:szCs w:val="20"/>
    </w:rPr>
  </w:style>
  <w:style w:type="character" w:styleId="Strong">
    <w:name w:val="Strong"/>
    <w:basedOn w:val="DefaultParagraphFont"/>
    <w:uiPriority w:val="22"/>
    <w:qFormat/>
    <w:rsid w:val="00A14DCD"/>
    <w:rPr>
      <w:rFonts w:cs="Times New Roman"/>
      <w:b/>
    </w:rPr>
  </w:style>
  <w:style w:type="paragraph" w:styleId="TOCHeading">
    <w:name w:val="TOC Heading"/>
    <w:basedOn w:val="Heading1"/>
    <w:next w:val="Normal"/>
    <w:uiPriority w:val="99"/>
    <w:rsid w:val="00A14DCD"/>
    <w:pPr>
      <w:keepLines/>
      <w:spacing w:before="480" w:line="276" w:lineRule="auto"/>
      <w:outlineLvl w:val="9"/>
    </w:pPr>
    <w:rPr>
      <w:rFonts w:ascii="Cambria" w:hAnsi="Cambria"/>
      <w:bCs/>
      <w:smallCaps w:val="0"/>
      <w:color w:val="365F91"/>
      <w:sz w:val="28"/>
      <w:szCs w:val="28"/>
    </w:rPr>
  </w:style>
  <w:style w:type="paragraph" w:styleId="TOC1">
    <w:name w:val="toc 1"/>
    <w:basedOn w:val="Normal"/>
    <w:next w:val="Normal"/>
    <w:uiPriority w:val="39"/>
    <w:rsid w:val="00A14DCD"/>
    <w:pPr>
      <w:spacing w:before="240" w:after="120"/>
    </w:pPr>
    <w:rPr>
      <w:b/>
      <w:caps/>
      <w:u w:val="single"/>
    </w:rPr>
  </w:style>
  <w:style w:type="paragraph" w:styleId="TOC2">
    <w:name w:val="toc 2"/>
    <w:basedOn w:val="Normal"/>
    <w:next w:val="Normal"/>
    <w:uiPriority w:val="39"/>
    <w:rsid w:val="00A14DCD"/>
    <w:pPr>
      <w:spacing w:after="0"/>
    </w:pPr>
    <w:rPr>
      <w:b/>
      <w:smallCaps/>
    </w:rPr>
  </w:style>
  <w:style w:type="paragraph" w:styleId="TOC3">
    <w:name w:val="toc 3"/>
    <w:basedOn w:val="Normal"/>
    <w:next w:val="Normal"/>
    <w:uiPriority w:val="39"/>
    <w:rsid w:val="00A14DCD"/>
    <w:pPr>
      <w:spacing w:after="0"/>
    </w:pPr>
    <w:rPr>
      <w:smallCaps/>
    </w:rPr>
  </w:style>
  <w:style w:type="paragraph" w:styleId="TOC4">
    <w:name w:val="toc 4"/>
    <w:basedOn w:val="Normal"/>
    <w:next w:val="Normal"/>
    <w:uiPriority w:val="39"/>
    <w:rsid w:val="00A14DCD"/>
    <w:pPr>
      <w:spacing w:after="0"/>
    </w:pPr>
  </w:style>
  <w:style w:type="paragraph" w:styleId="TOC5">
    <w:name w:val="toc 5"/>
    <w:basedOn w:val="Normal"/>
    <w:next w:val="Normal"/>
    <w:uiPriority w:val="39"/>
    <w:rsid w:val="00A14DCD"/>
    <w:pPr>
      <w:spacing w:after="0"/>
    </w:pPr>
  </w:style>
  <w:style w:type="paragraph" w:styleId="TOC6">
    <w:name w:val="toc 6"/>
    <w:basedOn w:val="Normal"/>
    <w:next w:val="Normal"/>
    <w:uiPriority w:val="39"/>
    <w:rsid w:val="00A14DCD"/>
    <w:pPr>
      <w:spacing w:after="0"/>
    </w:pPr>
  </w:style>
  <w:style w:type="paragraph" w:styleId="TOC7">
    <w:name w:val="toc 7"/>
    <w:basedOn w:val="Normal"/>
    <w:next w:val="Normal"/>
    <w:uiPriority w:val="39"/>
    <w:rsid w:val="00A14DCD"/>
    <w:pPr>
      <w:spacing w:after="0"/>
    </w:pPr>
  </w:style>
  <w:style w:type="paragraph" w:styleId="TOC8">
    <w:name w:val="toc 8"/>
    <w:basedOn w:val="Normal"/>
    <w:next w:val="Normal"/>
    <w:uiPriority w:val="39"/>
    <w:rsid w:val="00A14DCD"/>
    <w:pPr>
      <w:spacing w:after="0"/>
    </w:pPr>
  </w:style>
  <w:style w:type="paragraph" w:styleId="TOC9">
    <w:name w:val="toc 9"/>
    <w:basedOn w:val="Normal"/>
    <w:next w:val="Normal"/>
    <w:uiPriority w:val="39"/>
    <w:rsid w:val="00A14DCD"/>
    <w:pPr>
      <w:spacing w:after="0"/>
    </w:pPr>
  </w:style>
  <w:style w:type="paragraph" w:customStyle="1" w:styleId="Default">
    <w:name w:val="Default"/>
    <w:rsid w:val="00A14D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rsid w:val="00A14DCD"/>
    <w:rPr>
      <w:rFonts w:ascii="Cambria" w:hAnsi="Cambria"/>
      <w:sz w:val="20"/>
      <w:szCs w:val="20"/>
    </w:rPr>
  </w:style>
  <w:style w:type="character" w:customStyle="1" w:styleId="FootnoteTextChar">
    <w:name w:val="Footnote Text Char"/>
    <w:basedOn w:val="DefaultParagraphFont"/>
    <w:link w:val="FootnoteText"/>
    <w:uiPriority w:val="99"/>
    <w:rsid w:val="00A14DCD"/>
    <w:rPr>
      <w:rFonts w:ascii="Cambria" w:eastAsia="Calibri" w:hAnsi="Cambria" w:cs="Times New Roman"/>
      <w:sz w:val="20"/>
      <w:szCs w:val="20"/>
    </w:rPr>
  </w:style>
  <w:style w:type="character" w:styleId="FootnoteReference">
    <w:name w:val="footnote reference"/>
    <w:basedOn w:val="DefaultParagraphFont"/>
    <w:uiPriority w:val="99"/>
    <w:rsid w:val="00A14DCD"/>
    <w:rPr>
      <w:rFonts w:cs="Times New Roman"/>
      <w:vertAlign w:val="superscript"/>
    </w:rPr>
  </w:style>
  <w:style w:type="character" w:styleId="CommentReference">
    <w:name w:val="annotation reference"/>
    <w:basedOn w:val="DefaultParagraphFont"/>
    <w:uiPriority w:val="99"/>
    <w:rsid w:val="00A14DCD"/>
    <w:rPr>
      <w:rFonts w:cs="Times New Roman"/>
      <w:sz w:val="16"/>
    </w:rPr>
  </w:style>
  <w:style w:type="paragraph" w:styleId="CommentText">
    <w:name w:val="annotation text"/>
    <w:basedOn w:val="Normal"/>
    <w:link w:val="CommentTextChar"/>
    <w:uiPriority w:val="99"/>
    <w:rsid w:val="00A14DCD"/>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A14DCD"/>
    <w:rPr>
      <w:rFonts w:ascii="Cambria" w:eastAsia="Calibri" w:hAnsi="Cambria" w:cs="Times New Roman"/>
      <w:sz w:val="20"/>
      <w:szCs w:val="20"/>
    </w:rPr>
  </w:style>
  <w:style w:type="character" w:customStyle="1" w:styleId="BalloonTextChar1">
    <w:name w:val="Balloon Text Char1"/>
    <w:basedOn w:val="DefaultParagraphFont"/>
    <w:uiPriority w:val="99"/>
    <w:rsid w:val="00A14DCD"/>
    <w:rPr>
      <w:rFonts w:ascii="Tahoma" w:hAnsi="Tahoma" w:cs="Times New Roman"/>
      <w:sz w:val="20"/>
    </w:rPr>
  </w:style>
  <w:style w:type="character" w:customStyle="1" w:styleId="HeaderChar">
    <w:name w:val="Header Char"/>
    <w:basedOn w:val="DefaultParagraphFont"/>
    <w:uiPriority w:val="99"/>
    <w:rsid w:val="00A14DCD"/>
    <w:rPr>
      <w:rFonts w:ascii="Calibri" w:hAnsi="Calibri" w:cs="Times New Roman"/>
      <w:sz w:val="20"/>
    </w:rPr>
  </w:style>
  <w:style w:type="paragraph" w:styleId="Header">
    <w:name w:val="header"/>
    <w:basedOn w:val="Normal"/>
    <w:link w:val="HeaderChar1"/>
    <w:uiPriority w:val="99"/>
    <w:rsid w:val="00A14DCD"/>
    <w:pPr>
      <w:tabs>
        <w:tab w:val="center" w:pos="4680"/>
        <w:tab w:val="right" w:pos="9360"/>
      </w:tabs>
      <w:spacing w:after="0" w:line="240" w:lineRule="auto"/>
    </w:pPr>
    <w:rPr>
      <w:sz w:val="20"/>
      <w:szCs w:val="20"/>
    </w:rPr>
  </w:style>
  <w:style w:type="character" w:customStyle="1" w:styleId="HeaderChar1">
    <w:name w:val="Header Char1"/>
    <w:basedOn w:val="DefaultParagraphFont"/>
    <w:link w:val="Header"/>
    <w:uiPriority w:val="99"/>
    <w:rsid w:val="00A14DCD"/>
    <w:rPr>
      <w:rFonts w:ascii="Times New Roman" w:eastAsia="Calibri" w:hAnsi="Times New Roman" w:cs="Times New Roman"/>
      <w:sz w:val="20"/>
      <w:szCs w:val="20"/>
    </w:rPr>
  </w:style>
  <w:style w:type="paragraph" w:styleId="Footer">
    <w:name w:val="footer"/>
    <w:basedOn w:val="Normal"/>
    <w:link w:val="FooterChar"/>
    <w:uiPriority w:val="99"/>
    <w:rsid w:val="00A14DCD"/>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A14DCD"/>
    <w:rPr>
      <w:rFonts w:ascii="Times New Roman" w:eastAsia="Calibri" w:hAnsi="Times New Roman" w:cs="Times New Roman"/>
      <w:sz w:val="20"/>
      <w:szCs w:val="20"/>
    </w:rPr>
  </w:style>
  <w:style w:type="character" w:customStyle="1" w:styleId="CommentSubjectChar">
    <w:name w:val="Comment Subject Char"/>
    <w:basedOn w:val="CommentTextChar"/>
    <w:link w:val="CommentSubject"/>
    <w:uiPriority w:val="99"/>
    <w:semiHidden/>
    <w:rsid w:val="00A14DCD"/>
    <w:rPr>
      <w:rFonts w:ascii="Cambria" w:eastAsia="Calibri" w:hAnsi="Cambria" w:cs="Times New Roman"/>
      <w:b/>
      <w:bCs/>
      <w:sz w:val="20"/>
      <w:szCs w:val="20"/>
    </w:rPr>
  </w:style>
  <w:style w:type="paragraph" w:styleId="CommentSubject">
    <w:name w:val="annotation subject"/>
    <w:basedOn w:val="CommentText"/>
    <w:next w:val="CommentText"/>
    <w:link w:val="CommentSubjectChar"/>
    <w:uiPriority w:val="99"/>
    <w:semiHidden/>
    <w:rsid w:val="00A14DCD"/>
    <w:rPr>
      <w:b/>
      <w:bCs/>
    </w:rPr>
  </w:style>
  <w:style w:type="paragraph" w:styleId="NoSpacing">
    <w:name w:val="No Spacing"/>
    <w:uiPriority w:val="99"/>
    <w:qFormat/>
    <w:rsid w:val="00A14DCD"/>
    <w:pPr>
      <w:spacing w:after="0" w:line="240" w:lineRule="auto"/>
    </w:pPr>
    <w:rPr>
      <w:rFonts w:ascii="Calibri" w:eastAsia="Times New Roman" w:hAnsi="Calibri" w:cs="Times New Roman"/>
    </w:rPr>
  </w:style>
  <w:style w:type="character" w:customStyle="1" w:styleId="NoSpacingChar">
    <w:name w:val="No Spacing Char"/>
    <w:uiPriority w:val="99"/>
    <w:rsid w:val="00A14DCD"/>
    <w:rPr>
      <w:rFonts w:eastAsia="Times New Roman"/>
      <w:sz w:val="22"/>
      <w:lang w:val="en-US" w:eastAsia="en-US"/>
    </w:rPr>
  </w:style>
  <w:style w:type="paragraph" w:styleId="NormalWeb">
    <w:name w:val="Normal (Web)"/>
    <w:basedOn w:val="Normal"/>
    <w:uiPriority w:val="99"/>
    <w:rsid w:val="00A14DCD"/>
    <w:pPr>
      <w:spacing w:before="100" w:beforeAutospacing="1" w:after="100" w:afterAutospacing="1" w:line="240" w:lineRule="auto"/>
    </w:pPr>
    <w:rPr>
      <w:rFonts w:eastAsia="Times New Roman"/>
      <w:szCs w:val="24"/>
    </w:rPr>
  </w:style>
  <w:style w:type="paragraph" w:customStyle="1" w:styleId="HB1Text">
    <w:name w:val="HB 1) Text"/>
    <w:basedOn w:val="Normal"/>
    <w:uiPriority w:val="99"/>
    <w:rsid w:val="00A14DCD"/>
    <w:pPr>
      <w:tabs>
        <w:tab w:val="left" w:pos="360"/>
        <w:tab w:val="left" w:pos="900"/>
        <w:tab w:val="left" w:pos="1170"/>
      </w:tabs>
      <w:spacing w:after="0" w:line="240" w:lineRule="auto"/>
      <w:ind w:left="1440"/>
    </w:pPr>
    <w:rPr>
      <w:rFonts w:eastAsia="MS Mincho"/>
      <w:szCs w:val="24"/>
    </w:rPr>
  </w:style>
  <w:style w:type="paragraph" w:customStyle="1" w:styleId="xmsolistparagraph">
    <w:name w:val="x_msolistparagraph"/>
    <w:basedOn w:val="Normal"/>
    <w:uiPriority w:val="99"/>
    <w:rsid w:val="00A14DCD"/>
    <w:pPr>
      <w:spacing w:before="100" w:beforeAutospacing="1" w:after="100" w:afterAutospacing="1" w:line="240" w:lineRule="auto"/>
    </w:pPr>
    <w:rPr>
      <w:rFonts w:ascii="Times" w:hAnsi="Times"/>
      <w:sz w:val="20"/>
      <w:szCs w:val="20"/>
    </w:rPr>
  </w:style>
  <w:style w:type="paragraph" w:customStyle="1" w:styleId="xmsonormal">
    <w:name w:val="x_msonormal"/>
    <w:basedOn w:val="Normal"/>
    <w:uiPriority w:val="99"/>
    <w:rsid w:val="00A14DCD"/>
    <w:pPr>
      <w:spacing w:before="100" w:beforeAutospacing="1" w:after="100" w:afterAutospacing="1" w:line="240" w:lineRule="auto"/>
    </w:pPr>
    <w:rPr>
      <w:rFonts w:ascii="Times" w:hAnsi="Times"/>
      <w:sz w:val="20"/>
      <w:szCs w:val="20"/>
    </w:rPr>
  </w:style>
  <w:style w:type="paragraph" w:customStyle="1" w:styleId="MediumGrid1-Accent21">
    <w:name w:val="Medium Grid 1 - Accent 21"/>
    <w:basedOn w:val="Normal"/>
    <w:uiPriority w:val="99"/>
    <w:rsid w:val="00A14DCD"/>
    <w:pPr>
      <w:ind w:left="720"/>
      <w:contextualSpacing/>
    </w:pPr>
    <w:rPr>
      <w:rFonts w:eastAsia="Times New Roman"/>
      <w:sz w:val="20"/>
      <w:szCs w:val="20"/>
    </w:rPr>
  </w:style>
  <w:style w:type="character" w:customStyle="1" w:styleId="MediumGrid1-Accent2Char">
    <w:name w:val="Medium Grid 1 - Accent 2 Char"/>
    <w:uiPriority w:val="99"/>
    <w:rsid w:val="00A14DCD"/>
    <w:rPr>
      <w:rFonts w:ascii="Calibri" w:hAnsi="Calibri"/>
    </w:rPr>
  </w:style>
  <w:style w:type="paragraph" w:customStyle="1" w:styleId="Section2header">
    <w:name w:val="Section 2 header"/>
    <w:basedOn w:val="Normal"/>
    <w:uiPriority w:val="99"/>
    <w:rsid w:val="00A14DCD"/>
    <w:pPr>
      <w:ind w:left="720"/>
    </w:pPr>
    <w:rPr>
      <w:szCs w:val="24"/>
    </w:rPr>
  </w:style>
  <w:style w:type="paragraph" w:customStyle="1" w:styleId="Header21">
    <w:name w:val="Header 2.1"/>
    <w:basedOn w:val="Heading2"/>
    <w:uiPriority w:val="99"/>
    <w:rsid w:val="00A14DCD"/>
    <w:pPr>
      <w:numPr>
        <w:numId w:val="1"/>
      </w:numPr>
    </w:pPr>
  </w:style>
  <w:style w:type="paragraph" w:customStyle="1" w:styleId="ColorfulShading-Accent11">
    <w:name w:val="Colorful Shading - Accent 11"/>
    <w:uiPriority w:val="99"/>
    <w:rsid w:val="00A14DCD"/>
    <w:pPr>
      <w:spacing w:after="0" w:line="240" w:lineRule="auto"/>
    </w:pPr>
    <w:rPr>
      <w:rFonts w:ascii="Calibri" w:eastAsia="Times New Roman" w:hAnsi="Calibri" w:cs="Times New Roman"/>
    </w:rPr>
  </w:style>
  <w:style w:type="character" w:styleId="LineNumber">
    <w:name w:val="line number"/>
    <w:basedOn w:val="DefaultParagraphFont"/>
    <w:uiPriority w:val="99"/>
    <w:rsid w:val="00A14DCD"/>
    <w:rPr>
      <w:rFonts w:ascii="Times New Roman" w:hAnsi="Times New Roman" w:cs="Times New Roman"/>
      <w:sz w:val="24"/>
    </w:rPr>
  </w:style>
  <w:style w:type="paragraph" w:styleId="Revision">
    <w:name w:val="Revision"/>
    <w:uiPriority w:val="99"/>
    <w:rsid w:val="00A14DCD"/>
    <w:pPr>
      <w:spacing w:after="0" w:line="240" w:lineRule="auto"/>
    </w:pPr>
    <w:rPr>
      <w:rFonts w:ascii="Calibri" w:eastAsia="Calibri" w:hAnsi="Calibri" w:cs="Times New Roman"/>
    </w:rPr>
  </w:style>
  <w:style w:type="character" w:customStyle="1" w:styleId="ColorfulList-Accent1Char">
    <w:name w:val="Colorful List - Accent 1 Char"/>
    <w:basedOn w:val="DefaultParagraphFont"/>
    <w:uiPriority w:val="99"/>
    <w:rsid w:val="00A14DCD"/>
    <w:rPr>
      <w:rFonts w:ascii="Calibri" w:hAnsi="Calibri" w:cs="Times New Roman"/>
      <w:sz w:val="22"/>
    </w:rPr>
  </w:style>
  <w:style w:type="paragraph" w:customStyle="1" w:styleId="Header31">
    <w:name w:val="Header 3.1"/>
    <w:basedOn w:val="Header21"/>
    <w:uiPriority w:val="99"/>
    <w:rsid w:val="00A14DCD"/>
    <w:pPr>
      <w:numPr>
        <w:numId w:val="3"/>
      </w:numPr>
    </w:pPr>
    <w:rPr>
      <w:szCs w:val="24"/>
    </w:rPr>
  </w:style>
  <w:style w:type="character" w:customStyle="1" w:styleId="xmsofootnotereference">
    <w:name w:val="x_msofootnotereference"/>
    <w:basedOn w:val="DefaultParagraphFont"/>
    <w:uiPriority w:val="99"/>
    <w:rsid w:val="00A14DCD"/>
    <w:rPr>
      <w:rFonts w:cs="Times New Roman"/>
    </w:rPr>
  </w:style>
  <w:style w:type="character" w:styleId="PageNumber">
    <w:name w:val="page number"/>
    <w:basedOn w:val="DefaultParagraphFont"/>
    <w:uiPriority w:val="99"/>
    <w:rsid w:val="00A14DCD"/>
    <w:rPr>
      <w:rFonts w:cs="Times New Roman"/>
    </w:rPr>
  </w:style>
  <w:style w:type="paragraph" w:customStyle="1" w:styleId="xl67">
    <w:name w:val="xl67"/>
    <w:basedOn w:val="Normal"/>
    <w:uiPriority w:val="99"/>
    <w:rsid w:val="00A14DCD"/>
    <w:pPr>
      <w:shd w:val="clear" w:color="000000" w:fill="FFFFFF"/>
      <w:spacing w:before="100" w:beforeAutospacing="1" w:after="100" w:afterAutospacing="1" w:line="240" w:lineRule="auto"/>
    </w:pPr>
    <w:rPr>
      <w:rFonts w:eastAsia="Times New Roman"/>
      <w:szCs w:val="24"/>
    </w:rPr>
  </w:style>
  <w:style w:type="paragraph" w:customStyle="1" w:styleId="xl68">
    <w:name w:val="xl68"/>
    <w:basedOn w:val="Normal"/>
    <w:uiPriority w:val="99"/>
    <w:rsid w:val="00A14DC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69">
    <w:name w:val="xl69"/>
    <w:basedOn w:val="Normal"/>
    <w:uiPriority w:val="99"/>
    <w:rsid w:val="00A14DCD"/>
    <w:pPr>
      <w:pBdr>
        <w:left w:val="single" w:sz="4" w:space="0" w:color="auto"/>
        <w:bottom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70">
    <w:name w:val="xl70"/>
    <w:basedOn w:val="Normal"/>
    <w:uiPriority w:val="99"/>
    <w:rsid w:val="00A14DCD"/>
    <w:pPr>
      <w:pBdr>
        <w:bottom w:val="single" w:sz="4" w:space="0" w:color="auto"/>
        <w:righ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71">
    <w:name w:val="xl71"/>
    <w:basedOn w:val="Normal"/>
    <w:uiPriority w:val="99"/>
    <w:rsid w:val="00A14DCD"/>
    <w:pPr>
      <w:shd w:val="clear" w:color="000000" w:fill="FFFFFF"/>
      <w:spacing w:before="100" w:beforeAutospacing="1" w:after="100" w:afterAutospacing="1" w:line="240" w:lineRule="auto"/>
      <w:textAlignment w:val="top"/>
    </w:pPr>
    <w:rPr>
      <w:rFonts w:eastAsia="Times New Roman"/>
      <w:szCs w:val="24"/>
    </w:rPr>
  </w:style>
  <w:style w:type="paragraph" w:customStyle="1" w:styleId="xl72">
    <w:name w:val="xl72"/>
    <w:basedOn w:val="Normal"/>
    <w:uiPriority w:val="99"/>
    <w:rsid w:val="00A14DCD"/>
    <w:pPr>
      <w:pBdr>
        <w:left w:val="single" w:sz="4" w:space="0" w:color="auto"/>
      </w:pBdr>
      <w:shd w:val="clear" w:color="000000" w:fill="FFFFFF"/>
      <w:spacing w:before="100" w:beforeAutospacing="1" w:after="100" w:afterAutospacing="1" w:line="240" w:lineRule="auto"/>
      <w:textAlignment w:val="center"/>
    </w:pPr>
    <w:rPr>
      <w:rFonts w:eastAsia="Times New Roman"/>
      <w:szCs w:val="24"/>
    </w:rPr>
  </w:style>
  <w:style w:type="paragraph" w:customStyle="1" w:styleId="xl73">
    <w:name w:val="xl73"/>
    <w:basedOn w:val="Normal"/>
    <w:uiPriority w:val="99"/>
    <w:rsid w:val="00A14DCD"/>
    <w:pPr>
      <w:spacing w:before="100" w:beforeAutospacing="1" w:after="100" w:afterAutospacing="1" w:line="240" w:lineRule="auto"/>
    </w:pPr>
    <w:rPr>
      <w:rFonts w:eastAsia="Times New Roman"/>
      <w:szCs w:val="24"/>
    </w:rPr>
  </w:style>
  <w:style w:type="paragraph" w:customStyle="1" w:styleId="xl74">
    <w:name w:val="xl74"/>
    <w:basedOn w:val="Normal"/>
    <w:uiPriority w:val="99"/>
    <w:rsid w:val="00A14DCD"/>
    <w:pPr>
      <w:shd w:val="clear" w:color="000000" w:fill="000000"/>
      <w:spacing w:before="100" w:beforeAutospacing="1" w:after="100" w:afterAutospacing="1" w:line="240" w:lineRule="auto"/>
      <w:textAlignment w:val="center"/>
    </w:pPr>
    <w:rPr>
      <w:rFonts w:eastAsia="Times New Roman"/>
      <w:b/>
      <w:bCs/>
      <w:color w:val="FFFFFF"/>
      <w:szCs w:val="24"/>
    </w:rPr>
  </w:style>
  <w:style w:type="paragraph" w:customStyle="1" w:styleId="xl75">
    <w:name w:val="xl75"/>
    <w:basedOn w:val="Normal"/>
    <w:uiPriority w:val="99"/>
    <w:rsid w:val="00A14DCD"/>
    <w:pPr>
      <w:shd w:val="clear" w:color="000000" w:fill="000000"/>
      <w:spacing w:before="100" w:beforeAutospacing="1" w:after="100" w:afterAutospacing="1" w:line="240" w:lineRule="auto"/>
    </w:pPr>
    <w:rPr>
      <w:rFonts w:eastAsia="Times New Roman"/>
      <w:b/>
      <w:bCs/>
      <w:color w:val="FFFFFF"/>
      <w:szCs w:val="24"/>
    </w:rPr>
  </w:style>
  <w:style w:type="paragraph" w:customStyle="1" w:styleId="xl76">
    <w:name w:val="xl76"/>
    <w:basedOn w:val="Normal"/>
    <w:uiPriority w:val="99"/>
    <w:rsid w:val="00A14DCD"/>
    <w:pPr>
      <w:shd w:val="clear" w:color="000000" w:fill="FFFFFF"/>
      <w:spacing w:before="100" w:beforeAutospacing="1" w:after="100" w:afterAutospacing="1" w:line="240" w:lineRule="auto"/>
      <w:textAlignment w:val="center"/>
    </w:pPr>
    <w:rPr>
      <w:rFonts w:eastAsia="Times New Roman"/>
      <w:szCs w:val="24"/>
    </w:rPr>
  </w:style>
  <w:style w:type="paragraph" w:customStyle="1" w:styleId="xl77">
    <w:name w:val="xl77"/>
    <w:basedOn w:val="Normal"/>
    <w:uiPriority w:val="99"/>
    <w:rsid w:val="00A14DCD"/>
    <w:pPr>
      <w:pBdr>
        <w:right w:val="single" w:sz="4" w:space="0" w:color="auto"/>
      </w:pBdr>
      <w:shd w:val="clear" w:color="000000" w:fill="FFFFFF"/>
      <w:spacing w:before="100" w:beforeAutospacing="1" w:after="100" w:afterAutospacing="1" w:line="240" w:lineRule="auto"/>
      <w:textAlignment w:val="center"/>
    </w:pPr>
    <w:rPr>
      <w:rFonts w:eastAsia="Times New Roman"/>
      <w:b/>
      <w:bCs/>
      <w:szCs w:val="24"/>
    </w:rPr>
  </w:style>
  <w:style w:type="paragraph" w:customStyle="1" w:styleId="xl78">
    <w:name w:val="xl78"/>
    <w:basedOn w:val="Normal"/>
    <w:uiPriority w:val="99"/>
    <w:rsid w:val="00A14DCD"/>
    <w:pPr>
      <w:shd w:val="clear" w:color="000000" w:fill="FFFFFF"/>
      <w:spacing w:before="100" w:beforeAutospacing="1" w:after="100" w:afterAutospacing="1" w:line="240" w:lineRule="auto"/>
    </w:pPr>
    <w:rPr>
      <w:rFonts w:eastAsia="Times New Roman"/>
      <w:szCs w:val="24"/>
    </w:rPr>
  </w:style>
  <w:style w:type="paragraph" w:customStyle="1" w:styleId="xl79">
    <w:name w:val="xl79"/>
    <w:basedOn w:val="Normal"/>
    <w:uiPriority w:val="99"/>
    <w:rsid w:val="00A14DCD"/>
    <w:pPr>
      <w:pBdr>
        <w:righ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80">
    <w:name w:val="xl80"/>
    <w:basedOn w:val="Normal"/>
    <w:uiPriority w:val="99"/>
    <w:rsid w:val="00A14DCD"/>
    <w:pPr>
      <w:shd w:val="clear" w:color="000000" w:fill="FFFFFF"/>
      <w:spacing w:before="100" w:beforeAutospacing="1" w:after="100" w:afterAutospacing="1" w:line="240" w:lineRule="auto"/>
    </w:pPr>
    <w:rPr>
      <w:rFonts w:eastAsia="Times New Roman"/>
      <w:szCs w:val="24"/>
    </w:rPr>
  </w:style>
  <w:style w:type="paragraph" w:customStyle="1" w:styleId="xl81">
    <w:name w:val="xl81"/>
    <w:basedOn w:val="Normal"/>
    <w:uiPriority w:val="99"/>
    <w:rsid w:val="00A14DCD"/>
    <w:pPr>
      <w:shd w:val="clear" w:color="000000" w:fill="FFFFFF"/>
      <w:spacing w:before="100" w:beforeAutospacing="1" w:after="100" w:afterAutospacing="1" w:line="240" w:lineRule="auto"/>
    </w:pPr>
    <w:rPr>
      <w:rFonts w:eastAsia="Times New Roman"/>
      <w:szCs w:val="24"/>
    </w:rPr>
  </w:style>
  <w:style w:type="paragraph" w:customStyle="1" w:styleId="xl82">
    <w:name w:val="xl82"/>
    <w:basedOn w:val="Normal"/>
    <w:uiPriority w:val="99"/>
    <w:rsid w:val="00A14DCD"/>
    <w:pPr>
      <w:pBdr>
        <w:righ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83">
    <w:name w:val="xl83"/>
    <w:basedOn w:val="Normal"/>
    <w:uiPriority w:val="99"/>
    <w:rsid w:val="00A14DCD"/>
    <w:pPr>
      <w:pBdr>
        <w:lef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84">
    <w:name w:val="xl84"/>
    <w:basedOn w:val="Normal"/>
    <w:uiPriority w:val="99"/>
    <w:rsid w:val="00A14DCD"/>
    <w:pPr>
      <w:pBdr>
        <w:left w:val="single" w:sz="4" w:space="0" w:color="auto"/>
      </w:pBdr>
      <w:shd w:val="clear" w:color="000000" w:fill="BFBFBF"/>
      <w:spacing w:before="100" w:beforeAutospacing="1" w:after="100" w:afterAutospacing="1" w:line="240" w:lineRule="auto"/>
    </w:pPr>
    <w:rPr>
      <w:rFonts w:eastAsia="Times New Roman"/>
      <w:b/>
      <w:bCs/>
      <w:szCs w:val="24"/>
    </w:rPr>
  </w:style>
  <w:style w:type="paragraph" w:customStyle="1" w:styleId="xl85">
    <w:name w:val="xl85"/>
    <w:basedOn w:val="Normal"/>
    <w:uiPriority w:val="99"/>
    <w:rsid w:val="00A14DCD"/>
    <w:pPr>
      <w:shd w:val="clear" w:color="000000" w:fill="BFBFBF"/>
      <w:spacing w:before="100" w:beforeAutospacing="1" w:after="100" w:afterAutospacing="1" w:line="240" w:lineRule="auto"/>
      <w:jc w:val="center"/>
    </w:pPr>
    <w:rPr>
      <w:rFonts w:eastAsia="Times New Roman"/>
      <w:i/>
      <w:iCs/>
      <w:szCs w:val="24"/>
    </w:rPr>
  </w:style>
  <w:style w:type="paragraph" w:customStyle="1" w:styleId="xl86">
    <w:name w:val="xl86"/>
    <w:basedOn w:val="Normal"/>
    <w:uiPriority w:val="99"/>
    <w:rsid w:val="00A14DCD"/>
    <w:pPr>
      <w:pBdr>
        <w:right w:val="single" w:sz="4" w:space="0" w:color="auto"/>
      </w:pBdr>
      <w:shd w:val="clear" w:color="000000" w:fill="BFBFBF"/>
      <w:spacing w:before="100" w:beforeAutospacing="1" w:after="100" w:afterAutospacing="1" w:line="240" w:lineRule="auto"/>
      <w:jc w:val="center"/>
    </w:pPr>
    <w:rPr>
      <w:rFonts w:eastAsia="Times New Roman"/>
      <w:i/>
      <w:iCs/>
      <w:szCs w:val="24"/>
    </w:rPr>
  </w:style>
  <w:style w:type="paragraph" w:customStyle="1" w:styleId="xl87">
    <w:name w:val="xl87"/>
    <w:basedOn w:val="Normal"/>
    <w:uiPriority w:val="99"/>
    <w:rsid w:val="00A14DCD"/>
    <w:pPr>
      <w:pBdr>
        <w:bottom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88">
    <w:name w:val="xl88"/>
    <w:basedOn w:val="Normal"/>
    <w:uiPriority w:val="99"/>
    <w:rsid w:val="00A14DCD"/>
    <w:pPr>
      <w:pBdr>
        <w:bottom w:val="single" w:sz="4" w:space="0" w:color="auto"/>
        <w:righ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89">
    <w:name w:val="xl89"/>
    <w:basedOn w:val="Normal"/>
    <w:uiPriority w:val="99"/>
    <w:rsid w:val="00A14DC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Cs w:val="24"/>
    </w:rPr>
  </w:style>
  <w:style w:type="paragraph" w:customStyle="1" w:styleId="xl90">
    <w:name w:val="xl90"/>
    <w:basedOn w:val="Normal"/>
    <w:uiPriority w:val="99"/>
    <w:rsid w:val="00A14DCD"/>
    <w:pPr>
      <w:pBdr>
        <w:top w:val="single" w:sz="4" w:space="0" w:color="auto"/>
        <w:bottom w:val="single" w:sz="4" w:space="0" w:color="auto"/>
      </w:pBdr>
      <w:shd w:val="clear" w:color="000000" w:fill="FFFFFF"/>
      <w:spacing w:before="100" w:beforeAutospacing="1" w:after="100" w:afterAutospacing="1" w:line="240" w:lineRule="auto"/>
    </w:pPr>
    <w:rPr>
      <w:rFonts w:eastAsia="Times New Roman"/>
      <w:b/>
      <w:bCs/>
      <w:szCs w:val="24"/>
    </w:rPr>
  </w:style>
  <w:style w:type="paragraph" w:customStyle="1" w:styleId="xl91">
    <w:name w:val="xl91"/>
    <w:basedOn w:val="Normal"/>
    <w:uiPriority w:val="99"/>
    <w:rsid w:val="00A14DC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szCs w:val="24"/>
    </w:rPr>
  </w:style>
  <w:style w:type="paragraph" w:customStyle="1" w:styleId="xl92">
    <w:name w:val="xl92"/>
    <w:basedOn w:val="Normal"/>
    <w:uiPriority w:val="99"/>
    <w:rsid w:val="00A14DCD"/>
    <w:pPr>
      <w:shd w:val="clear" w:color="000000" w:fill="FFFFFF"/>
      <w:spacing w:before="100" w:beforeAutospacing="1" w:after="100" w:afterAutospacing="1" w:line="240" w:lineRule="auto"/>
      <w:ind w:firstLineChars="200" w:firstLine="200"/>
    </w:pPr>
    <w:rPr>
      <w:rFonts w:eastAsia="Times New Roman"/>
      <w:szCs w:val="24"/>
    </w:rPr>
  </w:style>
  <w:style w:type="paragraph" w:customStyle="1" w:styleId="xl93">
    <w:name w:val="xl93"/>
    <w:basedOn w:val="Normal"/>
    <w:uiPriority w:val="99"/>
    <w:rsid w:val="00A14DCD"/>
    <w:pPr>
      <w:pBdr>
        <w:top w:val="single" w:sz="4" w:space="0" w:color="auto"/>
      </w:pBdr>
      <w:shd w:val="clear" w:color="000000" w:fill="000000"/>
      <w:spacing w:before="100" w:beforeAutospacing="1" w:after="100" w:afterAutospacing="1" w:line="240" w:lineRule="auto"/>
    </w:pPr>
    <w:rPr>
      <w:rFonts w:eastAsia="Times New Roman"/>
      <w:b/>
      <w:bCs/>
      <w:color w:val="FFFFFF"/>
      <w:szCs w:val="24"/>
    </w:rPr>
  </w:style>
  <w:style w:type="paragraph" w:customStyle="1" w:styleId="xl94">
    <w:name w:val="xl94"/>
    <w:basedOn w:val="Normal"/>
    <w:uiPriority w:val="99"/>
    <w:rsid w:val="00A14DCD"/>
    <w:pPr>
      <w:pBdr>
        <w:top w:val="single" w:sz="4" w:space="0" w:color="auto"/>
        <w:right w:val="single" w:sz="4" w:space="0" w:color="auto"/>
      </w:pBdr>
      <w:shd w:val="clear" w:color="000000" w:fill="000000"/>
      <w:spacing w:before="100" w:beforeAutospacing="1" w:after="100" w:afterAutospacing="1" w:line="240" w:lineRule="auto"/>
    </w:pPr>
    <w:rPr>
      <w:rFonts w:eastAsia="Times New Roman"/>
      <w:b/>
      <w:bCs/>
      <w:color w:val="FFFFFF"/>
      <w:szCs w:val="24"/>
    </w:rPr>
  </w:style>
  <w:style w:type="paragraph" w:customStyle="1" w:styleId="xl95">
    <w:name w:val="xl95"/>
    <w:basedOn w:val="Normal"/>
    <w:uiPriority w:val="99"/>
    <w:rsid w:val="00A14DCD"/>
    <w:pPr>
      <w:pBdr>
        <w:left w:val="single" w:sz="4" w:space="0" w:color="auto"/>
      </w:pBdr>
      <w:shd w:val="clear" w:color="000000" w:fill="BFBFBF"/>
      <w:spacing w:before="100" w:beforeAutospacing="1" w:after="100" w:afterAutospacing="1" w:line="240" w:lineRule="auto"/>
      <w:jc w:val="center"/>
    </w:pPr>
    <w:rPr>
      <w:rFonts w:eastAsia="Times New Roman"/>
      <w:i/>
      <w:iCs/>
      <w:szCs w:val="24"/>
    </w:rPr>
  </w:style>
  <w:style w:type="paragraph" w:customStyle="1" w:styleId="xl96">
    <w:name w:val="xl96"/>
    <w:basedOn w:val="Normal"/>
    <w:uiPriority w:val="99"/>
    <w:rsid w:val="00A14DCD"/>
    <w:pPr>
      <w:pBdr>
        <w:left w:val="single" w:sz="4" w:space="7" w:color="auto"/>
      </w:pBdr>
      <w:shd w:val="clear" w:color="000000" w:fill="FFFFFF"/>
      <w:spacing w:before="100" w:beforeAutospacing="1" w:after="100" w:afterAutospacing="1" w:line="240" w:lineRule="auto"/>
      <w:ind w:firstLineChars="100" w:firstLine="100"/>
    </w:pPr>
    <w:rPr>
      <w:rFonts w:eastAsia="Times New Roman"/>
      <w:szCs w:val="24"/>
    </w:rPr>
  </w:style>
  <w:style w:type="paragraph" w:customStyle="1" w:styleId="xl97">
    <w:name w:val="xl97"/>
    <w:basedOn w:val="Normal"/>
    <w:uiPriority w:val="99"/>
    <w:rsid w:val="00A14DCD"/>
    <w:pPr>
      <w:pBdr>
        <w:lef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98">
    <w:name w:val="xl98"/>
    <w:basedOn w:val="Normal"/>
    <w:uiPriority w:val="99"/>
    <w:rsid w:val="00A14DCD"/>
    <w:pPr>
      <w:pBdr>
        <w:righ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99">
    <w:name w:val="xl99"/>
    <w:basedOn w:val="Normal"/>
    <w:uiPriority w:val="99"/>
    <w:rsid w:val="00A14DCD"/>
    <w:pPr>
      <w:pBdr>
        <w:left w:val="single" w:sz="4" w:space="7" w:color="auto"/>
        <w:bottom w:val="double" w:sz="6" w:space="0" w:color="auto"/>
      </w:pBdr>
      <w:shd w:val="clear" w:color="000000" w:fill="FFFFFF"/>
      <w:spacing w:before="100" w:beforeAutospacing="1" w:after="100" w:afterAutospacing="1" w:line="240" w:lineRule="auto"/>
      <w:ind w:firstLineChars="100" w:firstLine="100"/>
    </w:pPr>
    <w:rPr>
      <w:rFonts w:eastAsia="Times New Roman"/>
      <w:szCs w:val="24"/>
    </w:rPr>
  </w:style>
  <w:style w:type="paragraph" w:customStyle="1" w:styleId="xl100">
    <w:name w:val="xl100"/>
    <w:basedOn w:val="Normal"/>
    <w:uiPriority w:val="99"/>
    <w:rsid w:val="00A14DCD"/>
    <w:pPr>
      <w:pBdr>
        <w:left w:val="single" w:sz="4" w:space="0" w:color="auto"/>
        <w:bottom w:val="double" w:sz="6" w:space="0" w:color="auto"/>
      </w:pBdr>
      <w:shd w:val="clear" w:color="000000" w:fill="FFFFFF"/>
      <w:spacing w:before="100" w:beforeAutospacing="1" w:after="100" w:afterAutospacing="1" w:line="240" w:lineRule="auto"/>
      <w:jc w:val="right"/>
    </w:pPr>
    <w:rPr>
      <w:rFonts w:eastAsia="Times New Roman"/>
      <w:szCs w:val="24"/>
    </w:rPr>
  </w:style>
  <w:style w:type="paragraph" w:customStyle="1" w:styleId="xl101">
    <w:name w:val="xl101"/>
    <w:basedOn w:val="Normal"/>
    <w:uiPriority w:val="99"/>
    <w:rsid w:val="00A14DCD"/>
    <w:pPr>
      <w:pBdr>
        <w:bottom w:val="double" w:sz="6" w:space="0" w:color="auto"/>
        <w:right w:val="single" w:sz="4" w:space="0" w:color="auto"/>
      </w:pBdr>
      <w:shd w:val="clear" w:color="000000" w:fill="FFFFFF"/>
      <w:spacing w:before="100" w:beforeAutospacing="1" w:after="100" w:afterAutospacing="1" w:line="240" w:lineRule="auto"/>
      <w:jc w:val="right"/>
    </w:pPr>
    <w:rPr>
      <w:rFonts w:eastAsia="Times New Roman"/>
      <w:szCs w:val="24"/>
    </w:rPr>
  </w:style>
  <w:style w:type="paragraph" w:customStyle="1" w:styleId="xl102">
    <w:name w:val="xl102"/>
    <w:basedOn w:val="Normal"/>
    <w:uiPriority w:val="99"/>
    <w:rsid w:val="00A14DCD"/>
    <w:pPr>
      <w:shd w:val="clear" w:color="000000" w:fill="FFFFFF"/>
      <w:spacing w:before="100" w:beforeAutospacing="1" w:after="100" w:afterAutospacing="1" w:line="240" w:lineRule="auto"/>
    </w:pPr>
    <w:rPr>
      <w:rFonts w:eastAsia="Times New Roman"/>
      <w:szCs w:val="24"/>
    </w:rPr>
  </w:style>
  <w:style w:type="paragraph" w:customStyle="1" w:styleId="xl103">
    <w:name w:val="xl103"/>
    <w:basedOn w:val="Normal"/>
    <w:uiPriority w:val="99"/>
    <w:rsid w:val="00A14DCD"/>
    <w:pPr>
      <w:pBdr>
        <w:left w:val="single" w:sz="4" w:space="20" w:color="auto"/>
      </w:pBdr>
      <w:shd w:val="clear" w:color="000000" w:fill="FFFFFF"/>
      <w:spacing w:before="100" w:beforeAutospacing="1" w:after="100" w:afterAutospacing="1" w:line="240" w:lineRule="auto"/>
      <w:ind w:firstLineChars="300" w:firstLine="300"/>
    </w:pPr>
    <w:rPr>
      <w:rFonts w:eastAsia="Times New Roman"/>
      <w:b/>
      <w:bCs/>
      <w:szCs w:val="24"/>
    </w:rPr>
  </w:style>
  <w:style w:type="paragraph" w:customStyle="1" w:styleId="xl104">
    <w:name w:val="xl104"/>
    <w:basedOn w:val="Normal"/>
    <w:uiPriority w:val="99"/>
    <w:rsid w:val="00A14DCD"/>
    <w:pPr>
      <w:pBdr>
        <w:left w:val="single" w:sz="4" w:space="0" w:color="auto"/>
      </w:pBdr>
      <w:shd w:val="clear" w:color="000000" w:fill="FFFFFF"/>
      <w:spacing w:before="100" w:beforeAutospacing="1" w:after="100" w:afterAutospacing="1" w:line="240" w:lineRule="auto"/>
      <w:textAlignment w:val="top"/>
    </w:pPr>
    <w:rPr>
      <w:rFonts w:eastAsia="Times New Roman"/>
      <w:b/>
      <w:bCs/>
      <w:szCs w:val="24"/>
    </w:rPr>
  </w:style>
  <w:style w:type="paragraph" w:customStyle="1" w:styleId="xl105">
    <w:name w:val="xl105"/>
    <w:basedOn w:val="Normal"/>
    <w:uiPriority w:val="99"/>
    <w:rsid w:val="00A14DCD"/>
    <w:pPr>
      <w:pBdr>
        <w:right w:val="single" w:sz="4" w:space="0" w:color="auto"/>
      </w:pBdr>
      <w:shd w:val="clear" w:color="000000" w:fill="FFFFFF"/>
      <w:spacing w:before="100" w:beforeAutospacing="1" w:after="100" w:afterAutospacing="1" w:line="240" w:lineRule="auto"/>
      <w:textAlignment w:val="top"/>
    </w:pPr>
    <w:rPr>
      <w:rFonts w:eastAsia="Times New Roman"/>
      <w:b/>
      <w:bCs/>
      <w:szCs w:val="24"/>
    </w:rPr>
  </w:style>
  <w:style w:type="paragraph" w:customStyle="1" w:styleId="xl106">
    <w:name w:val="xl106"/>
    <w:basedOn w:val="Normal"/>
    <w:uiPriority w:val="99"/>
    <w:rsid w:val="00A14DCD"/>
    <w:pPr>
      <w:pBdr>
        <w:left w:val="single" w:sz="4" w:space="0" w:color="auto"/>
      </w:pBdr>
      <w:shd w:val="clear" w:color="000000" w:fill="FFFFFF"/>
      <w:spacing w:before="100" w:beforeAutospacing="1" w:after="100" w:afterAutospacing="1" w:line="240" w:lineRule="auto"/>
      <w:textAlignment w:val="top"/>
    </w:pPr>
    <w:rPr>
      <w:rFonts w:eastAsia="Times New Roman"/>
      <w:szCs w:val="24"/>
    </w:rPr>
  </w:style>
  <w:style w:type="paragraph" w:customStyle="1" w:styleId="xl107">
    <w:name w:val="xl107"/>
    <w:basedOn w:val="Normal"/>
    <w:uiPriority w:val="99"/>
    <w:rsid w:val="00A14DCD"/>
    <w:pPr>
      <w:pBdr>
        <w:left w:val="single" w:sz="4" w:space="0" w:color="auto"/>
      </w:pBdr>
      <w:shd w:val="clear" w:color="000000" w:fill="FFFFFF"/>
      <w:spacing w:before="100" w:beforeAutospacing="1" w:after="100" w:afterAutospacing="1" w:line="240" w:lineRule="auto"/>
      <w:jc w:val="right"/>
      <w:textAlignment w:val="top"/>
    </w:pPr>
    <w:rPr>
      <w:rFonts w:eastAsia="Times New Roman"/>
      <w:szCs w:val="24"/>
    </w:rPr>
  </w:style>
  <w:style w:type="paragraph" w:customStyle="1" w:styleId="xl108">
    <w:name w:val="xl108"/>
    <w:basedOn w:val="Normal"/>
    <w:uiPriority w:val="99"/>
    <w:rsid w:val="00A14DCD"/>
    <w:pPr>
      <w:pBdr>
        <w:right w:val="single" w:sz="4" w:space="0" w:color="auto"/>
      </w:pBdr>
      <w:shd w:val="clear" w:color="000000" w:fill="FFFFFF"/>
      <w:spacing w:before="100" w:beforeAutospacing="1" w:after="100" w:afterAutospacing="1" w:line="240" w:lineRule="auto"/>
      <w:jc w:val="right"/>
      <w:textAlignment w:val="top"/>
    </w:pPr>
    <w:rPr>
      <w:rFonts w:eastAsia="Times New Roman"/>
      <w:szCs w:val="24"/>
    </w:rPr>
  </w:style>
  <w:style w:type="paragraph" w:customStyle="1" w:styleId="xl109">
    <w:name w:val="xl109"/>
    <w:basedOn w:val="Normal"/>
    <w:uiPriority w:val="99"/>
    <w:rsid w:val="00A14DCD"/>
    <w:pPr>
      <w:pBdr>
        <w:left w:val="single" w:sz="4" w:space="0" w:color="auto"/>
      </w:pBdr>
      <w:shd w:val="clear" w:color="000000" w:fill="FFFFFF"/>
      <w:spacing w:before="100" w:beforeAutospacing="1" w:after="100" w:afterAutospacing="1" w:line="240" w:lineRule="auto"/>
      <w:jc w:val="right"/>
    </w:pPr>
    <w:rPr>
      <w:rFonts w:eastAsia="Times New Roman"/>
      <w:szCs w:val="24"/>
    </w:rPr>
  </w:style>
  <w:style w:type="paragraph" w:customStyle="1" w:styleId="xl110">
    <w:name w:val="xl110"/>
    <w:basedOn w:val="Normal"/>
    <w:uiPriority w:val="99"/>
    <w:rsid w:val="00A14DCD"/>
    <w:pPr>
      <w:pBdr>
        <w:right w:val="single" w:sz="4" w:space="0" w:color="auto"/>
      </w:pBdr>
      <w:shd w:val="clear" w:color="000000" w:fill="FFFFFF"/>
      <w:spacing w:before="100" w:beforeAutospacing="1" w:after="100" w:afterAutospacing="1" w:line="240" w:lineRule="auto"/>
      <w:jc w:val="right"/>
    </w:pPr>
    <w:rPr>
      <w:rFonts w:eastAsia="Times New Roman"/>
      <w:szCs w:val="24"/>
    </w:rPr>
  </w:style>
  <w:style w:type="paragraph" w:customStyle="1" w:styleId="xl111">
    <w:name w:val="xl111"/>
    <w:basedOn w:val="Normal"/>
    <w:uiPriority w:val="99"/>
    <w:rsid w:val="00A14DCD"/>
    <w:pPr>
      <w:pBdr>
        <w:left w:val="single" w:sz="4" w:space="7" w:color="auto"/>
        <w:bottom w:val="single" w:sz="4" w:space="0" w:color="auto"/>
      </w:pBdr>
      <w:shd w:val="clear" w:color="000000" w:fill="FFFFFF"/>
      <w:spacing w:before="100" w:beforeAutospacing="1" w:after="100" w:afterAutospacing="1" w:line="240" w:lineRule="auto"/>
      <w:ind w:firstLineChars="100" w:firstLine="100"/>
    </w:pPr>
    <w:rPr>
      <w:rFonts w:eastAsia="Times New Roman"/>
      <w:szCs w:val="24"/>
    </w:rPr>
  </w:style>
  <w:style w:type="paragraph" w:customStyle="1" w:styleId="xl112">
    <w:name w:val="xl112"/>
    <w:basedOn w:val="Normal"/>
    <w:uiPriority w:val="99"/>
    <w:rsid w:val="00A14DCD"/>
    <w:pPr>
      <w:pBdr>
        <w:left w:val="single" w:sz="4" w:space="0" w:color="auto"/>
        <w:bottom w:val="single" w:sz="4" w:space="0" w:color="auto"/>
      </w:pBdr>
      <w:shd w:val="clear" w:color="000000" w:fill="FFFFFF"/>
      <w:spacing w:before="100" w:beforeAutospacing="1" w:after="100" w:afterAutospacing="1" w:line="240" w:lineRule="auto"/>
      <w:jc w:val="right"/>
    </w:pPr>
    <w:rPr>
      <w:rFonts w:eastAsia="Times New Roman"/>
      <w:szCs w:val="24"/>
    </w:rPr>
  </w:style>
  <w:style w:type="paragraph" w:customStyle="1" w:styleId="xl113">
    <w:name w:val="xl113"/>
    <w:basedOn w:val="Normal"/>
    <w:uiPriority w:val="99"/>
    <w:rsid w:val="00A14DCD"/>
    <w:pPr>
      <w:pBdr>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szCs w:val="24"/>
    </w:rPr>
  </w:style>
  <w:style w:type="paragraph" w:customStyle="1" w:styleId="xl114">
    <w:name w:val="xl114"/>
    <w:basedOn w:val="Normal"/>
    <w:uiPriority w:val="99"/>
    <w:rsid w:val="00A14DCD"/>
    <w:pPr>
      <w:pBdr>
        <w:top w:val="single" w:sz="4" w:space="0" w:color="auto"/>
        <w:left w:val="single" w:sz="4" w:space="0" w:color="auto"/>
      </w:pBdr>
      <w:shd w:val="clear" w:color="000000" w:fill="000000"/>
      <w:spacing w:before="100" w:beforeAutospacing="1" w:after="100" w:afterAutospacing="1" w:line="240" w:lineRule="auto"/>
    </w:pPr>
    <w:rPr>
      <w:rFonts w:eastAsia="Times New Roman"/>
      <w:b/>
      <w:bCs/>
      <w:color w:val="FFFFFF"/>
      <w:szCs w:val="24"/>
    </w:rPr>
  </w:style>
  <w:style w:type="paragraph" w:customStyle="1" w:styleId="xl115">
    <w:name w:val="xl115"/>
    <w:basedOn w:val="Normal"/>
    <w:uiPriority w:val="99"/>
    <w:rsid w:val="00A14DCD"/>
    <w:pPr>
      <w:pBdr>
        <w:left w:val="single" w:sz="4" w:space="0" w:color="auto"/>
      </w:pBdr>
      <w:shd w:val="clear" w:color="000000" w:fill="BFBFBF"/>
      <w:spacing w:before="100" w:beforeAutospacing="1" w:after="100" w:afterAutospacing="1" w:line="240" w:lineRule="auto"/>
      <w:jc w:val="center"/>
    </w:pPr>
    <w:rPr>
      <w:rFonts w:eastAsia="Times New Roman"/>
      <w:i/>
      <w:iCs/>
      <w:szCs w:val="24"/>
    </w:rPr>
  </w:style>
  <w:style w:type="paragraph" w:customStyle="1" w:styleId="xl116">
    <w:name w:val="xl116"/>
    <w:basedOn w:val="Normal"/>
    <w:uiPriority w:val="99"/>
    <w:rsid w:val="00A14DCD"/>
    <w:pPr>
      <w:pBdr>
        <w:right w:val="single" w:sz="4" w:space="0" w:color="auto"/>
      </w:pBdr>
      <w:shd w:val="clear" w:color="000000" w:fill="BFBFBF"/>
      <w:spacing w:before="100" w:beforeAutospacing="1" w:after="100" w:afterAutospacing="1" w:line="240" w:lineRule="auto"/>
      <w:jc w:val="center"/>
    </w:pPr>
    <w:rPr>
      <w:rFonts w:eastAsia="Times New Roman"/>
      <w:i/>
      <w:iCs/>
      <w:szCs w:val="24"/>
    </w:rPr>
  </w:style>
  <w:style w:type="paragraph" w:customStyle="1" w:styleId="xl117">
    <w:name w:val="xl117"/>
    <w:basedOn w:val="Normal"/>
    <w:uiPriority w:val="99"/>
    <w:rsid w:val="00A14DCD"/>
    <w:pPr>
      <w:pBdr>
        <w:left w:val="single" w:sz="4" w:space="14" w:color="auto"/>
      </w:pBdr>
      <w:shd w:val="clear" w:color="000000" w:fill="FFFFFF"/>
      <w:spacing w:before="100" w:beforeAutospacing="1" w:after="100" w:afterAutospacing="1" w:line="240" w:lineRule="auto"/>
      <w:ind w:firstLineChars="200" w:firstLine="200"/>
    </w:pPr>
    <w:rPr>
      <w:rFonts w:eastAsia="Times New Roman"/>
      <w:szCs w:val="24"/>
    </w:rPr>
  </w:style>
  <w:style w:type="paragraph" w:customStyle="1" w:styleId="xl118">
    <w:name w:val="xl118"/>
    <w:basedOn w:val="Normal"/>
    <w:uiPriority w:val="99"/>
    <w:rsid w:val="00A14DCD"/>
    <w:pPr>
      <w:pBdr>
        <w:lef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119">
    <w:name w:val="xl119"/>
    <w:basedOn w:val="Normal"/>
    <w:uiPriority w:val="99"/>
    <w:rsid w:val="00A14DCD"/>
    <w:pPr>
      <w:pBdr>
        <w:righ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120">
    <w:name w:val="xl120"/>
    <w:basedOn w:val="Normal"/>
    <w:uiPriority w:val="99"/>
    <w:rsid w:val="00A14DCD"/>
    <w:pPr>
      <w:pBdr>
        <w:righ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121">
    <w:name w:val="xl121"/>
    <w:basedOn w:val="Normal"/>
    <w:uiPriority w:val="99"/>
    <w:rsid w:val="00A14DCD"/>
    <w:pPr>
      <w:pBdr>
        <w:left w:val="single" w:sz="4" w:space="0" w:color="auto"/>
      </w:pBdr>
      <w:shd w:val="clear" w:color="000000" w:fill="FFFFFF"/>
      <w:spacing w:before="100" w:beforeAutospacing="1" w:after="100" w:afterAutospacing="1" w:line="240" w:lineRule="auto"/>
    </w:pPr>
    <w:rPr>
      <w:rFonts w:eastAsia="Times New Roman"/>
      <w:i/>
      <w:iCs/>
      <w:szCs w:val="24"/>
    </w:rPr>
  </w:style>
  <w:style w:type="paragraph" w:customStyle="1" w:styleId="xl122">
    <w:name w:val="xl122"/>
    <w:basedOn w:val="Normal"/>
    <w:uiPriority w:val="99"/>
    <w:rsid w:val="00A14DCD"/>
    <w:pPr>
      <w:pBdr>
        <w:right w:val="single" w:sz="4" w:space="0" w:color="auto"/>
      </w:pBdr>
      <w:shd w:val="clear" w:color="000000" w:fill="FFFFFF"/>
      <w:spacing w:before="100" w:beforeAutospacing="1" w:after="100" w:afterAutospacing="1" w:line="240" w:lineRule="auto"/>
    </w:pPr>
    <w:rPr>
      <w:rFonts w:eastAsia="Times New Roman"/>
      <w:i/>
      <w:iCs/>
      <w:szCs w:val="24"/>
    </w:rPr>
  </w:style>
  <w:style w:type="paragraph" w:customStyle="1" w:styleId="xl123">
    <w:name w:val="xl123"/>
    <w:basedOn w:val="Normal"/>
    <w:uiPriority w:val="99"/>
    <w:rsid w:val="00A14DCD"/>
    <w:pPr>
      <w:pBdr>
        <w:top w:val="single" w:sz="4" w:space="0" w:color="auto"/>
        <w:left w:val="single" w:sz="4" w:space="0" w:color="auto"/>
      </w:pBdr>
      <w:shd w:val="clear" w:color="000000" w:fill="FFFFFF"/>
      <w:spacing w:before="100" w:beforeAutospacing="1" w:after="100" w:afterAutospacing="1" w:line="240" w:lineRule="auto"/>
    </w:pPr>
    <w:rPr>
      <w:rFonts w:eastAsia="Times New Roman"/>
      <w:b/>
      <w:bCs/>
      <w:szCs w:val="24"/>
    </w:rPr>
  </w:style>
  <w:style w:type="paragraph" w:customStyle="1" w:styleId="xl124">
    <w:name w:val="xl124"/>
    <w:basedOn w:val="Normal"/>
    <w:uiPriority w:val="99"/>
    <w:rsid w:val="00A14DCD"/>
    <w:pPr>
      <w:pBdr>
        <w:top w:val="single" w:sz="4" w:space="0" w:color="auto"/>
        <w:left w:val="single" w:sz="4" w:space="0" w:color="auto"/>
      </w:pBdr>
      <w:shd w:val="clear" w:color="000000" w:fill="FFFFFF"/>
      <w:spacing w:before="100" w:beforeAutospacing="1" w:after="100" w:afterAutospacing="1" w:line="240" w:lineRule="auto"/>
    </w:pPr>
    <w:rPr>
      <w:rFonts w:eastAsia="Times New Roman"/>
      <w:b/>
      <w:bCs/>
      <w:szCs w:val="24"/>
    </w:rPr>
  </w:style>
  <w:style w:type="paragraph" w:customStyle="1" w:styleId="xl125">
    <w:name w:val="xl125"/>
    <w:basedOn w:val="Normal"/>
    <w:uiPriority w:val="99"/>
    <w:rsid w:val="00A14DCD"/>
    <w:pPr>
      <w:pBdr>
        <w:top w:val="single" w:sz="4" w:space="0" w:color="auto"/>
        <w:right w:val="single" w:sz="4" w:space="0" w:color="auto"/>
      </w:pBdr>
      <w:shd w:val="clear" w:color="000000" w:fill="FFFFFF"/>
      <w:spacing w:before="100" w:beforeAutospacing="1" w:after="100" w:afterAutospacing="1" w:line="240" w:lineRule="auto"/>
    </w:pPr>
    <w:rPr>
      <w:rFonts w:eastAsia="Times New Roman"/>
      <w:b/>
      <w:bCs/>
      <w:szCs w:val="24"/>
    </w:rPr>
  </w:style>
  <w:style w:type="paragraph" w:customStyle="1" w:styleId="xl126">
    <w:name w:val="xl126"/>
    <w:basedOn w:val="Normal"/>
    <w:uiPriority w:val="99"/>
    <w:rsid w:val="00A14DCD"/>
    <w:pPr>
      <w:pBdr>
        <w:right w:val="single" w:sz="4" w:space="0" w:color="auto"/>
      </w:pBdr>
      <w:shd w:val="clear" w:color="000000" w:fill="FFFFFF"/>
      <w:spacing w:before="100" w:beforeAutospacing="1" w:after="100" w:afterAutospacing="1" w:line="240" w:lineRule="auto"/>
      <w:jc w:val="right"/>
    </w:pPr>
    <w:rPr>
      <w:rFonts w:eastAsia="Times New Roman"/>
      <w:i/>
      <w:iCs/>
      <w:szCs w:val="24"/>
    </w:rPr>
  </w:style>
  <w:style w:type="paragraph" w:customStyle="1" w:styleId="xl127">
    <w:name w:val="xl127"/>
    <w:basedOn w:val="Normal"/>
    <w:uiPriority w:val="99"/>
    <w:rsid w:val="00A14DCD"/>
    <w:pPr>
      <w:pBdr>
        <w:left w:val="single" w:sz="4" w:space="7" w:color="auto"/>
        <w:bottom w:val="single" w:sz="4" w:space="0" w:color="auto"/>
      </w:pBdr>
      <w:shd w:val="clear" w:color="000000" w:fill="FFFFFF"/>
      <w:spacing w:before="100" w:beforeAutospacing="1" w:after="100" w:afterAutospacing="1" w:line="240" w:lineRule="auto"/>
      <w:ind w:firstLineChars="100" w:firstLine="100"/>
    </w:pPr>
    <w:rPr>
      <w:rFonts w:eastAsia="Times New Roman"/>
      <w:szCs w:val="24"/>
    </w:rPr>
  </w:style>
  <w:style w:type="paragraph" w:customStyle="1" w:styleId="xl128">
    <w:name w:val="xl128"/>
    <w:basedOn w:val="Normal"/>
    <w:uiPriority w:val="99"/>
    <w:rsid w:val="00A14DCD"/>
    <w:pPr>
      <w:pBdr>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szCs w:val="24"/>
    </w:rPr>
  </w:style>
  <w:style w:type="paragraph" w:customStyle="1" w:styleId="xl129">
    <w:name w:val="xl129"/>
    <w:basedOn w:val="Normal"/>
    <w:uiPriority w:val="99"/>
    <w:rsid w:val="00A14DCD"/>
    <w:pPr>
      <w:pBdr>
        <w:left w:val="single" w:sz="4" w:space="0" w:color="auto"/>
      </w:pBdr>
      <w:shd w:val="clear" w:color="000000" w:fill="FFFFFF"/>
      <w:spacing w:before="100" w:beforeAutospacing="1" w:after="100" w:afterAutospacing="1" w:line="240" w:lineRule="auto"/>
    </w:pPr>
    <w:rPr>
      <w:rFonts w:eastAsia="Times New Roman"/>
      <w:b/>
      <w:bCs/>
      <w:szCs w:val="24"/>
    </w:rPr>
  </w:style>
  <w:style w:type="paragraph" w:customStyle="1" w:styleId="xl130">
    <w:name w:val="xl130"/>
    <w:basedOn w:val="Normal"/>
    <w:uiPriority w:val="99"/>
    <w:rsid w:val="00A14DCD"/>
    <w:pPr>
      <w:pBdr>
        <w:left w:val="single" w:sz="4" w:space="0" w:color="auto"/>
      </w:pBdr>
      <w:shd w:val="clear" w:color="000000" w:fill="FFFFFF"/>
      <w:spacing w:before="100" w:beforeAutospacing="1" w:after="100" w:afterAutospacing="1" w:line="240" w:lineRule="auto"/>
    </w:pPr>
    <w:rPr>
      <w:rFonts w:eastAsia="Times New Roman"/>
      <w:b/>
      <w:bCs/>
      <w:szCs w:val="24"/>
    </w:rPr>
  </w:style>
  <w:style w:type="paragraph" w:customStyle="1" w:styleId="xl131">
    <w:name w:val="xl131"/>
    <w:basedOn w:val="Normal"/>
    <w:uiPriority w:val="99"/>
    <w:rsid w:val="00A14DCD"/>
    <w:pPr>
      <w:pBdr>
        <w:right w:val="single" w:sz="4" w:space="0" w:color="auto"/>
      </w:pBdr>
      <w:shd w:val="clear" w:color="000000" w:fill="FFFFFF"/>
      <w:spacing w:before="100" w:beforeAutospacing="1" w:after="100" w:afterAutospacing="1" w:line="240" w:lineRule="auto"/>
    </w:pPr>
    <w:rPr>
      <w:rFonts w:eastAsia="Times New Roman"/>
      <w:b/>
      <w:bCs/>
      <w:szCs w:val="24"/>
    </w:rPr>
  </w:style>
  <w:style w:type="paragraph" w:customStyle="1" w:styleId="xl132">
    <w:name w:val="xl132"/>
    <w:basedOn w:val="Normal"/>
    <w:uiPriority w:val="99"/>
    <w:rsid w:val="00A14DCD"/>
    <w:pPr>
      <w:pBdr>
        <w:top w:val="single" w:sz="4" w:space="0" w:color="auto"/>
        <w:left w:val="single" w:sz="4" w:space="0" w:color="auto"/>
      </w:pBdr>
      <w:shd w:val="clear" w:color="000000" w:fill="000000"/>
      <w:spacing w:before="100" w:beforeAutospacing="1" w:after="100" w:afterAutospacing="1" w:line="240" w:lineRule="auto"/>
      <w:textAlignment w:val="center"/>
    </w:pPr>
    <w:rPr>
      <w:rFonts w:eastAsia="Times New Roman"/>
      <w:b/>
      <w:bCs/>
      <w:color w:val="FFFFFF"/>
      <w:szCs w:val="24"/>
    </w:rPr>
  </w:style>
  <w:style w:type="paragraph" w:customStyle="1" w:styleId="xl133">
    <w:name w:val="xl133"/>
    <w:basedOn w:val="Normal"/>
    <w:uiPriority w:val="99"/>
    <w:rsid w:val="00A14DCD"/>
    <w:pPr>
      <w:pBdr>
        <w:top w:val="single" w:sz="4" w:space="0" w:color="auto"/>
      </w:pBdr>
      <w:shd w:val="clear" w:color="000000" w:fill="000000"/>
      <w:spacing w:before="100" w:beforeAutospacing="1" w:after="100" w:afterAutospacing="1" w:line="240" w:lineRule="auto"/>
      <w:textAlignment w:val="center"/>
    </w:pPr>
    <w:rPr>
      <w:rFonts w:eastAsia="Times New Roman"/>
      <w:b/>
      <w:bCs/>
      <w:color w:val="FFFFFF"/>
      <w:szCs w:val="24"/>
    </w:rPr>
  </w:style>
  <w:style w:type="paragraph" w:customStyle="1" w:styleId="xl134">
    <w:name w:val="xl134"/>
    <w:basedOn w:val="Normal"/>
    <w:uiPriority w:val="99"/>
    <w:rsid w:val="00A14DCD"/>
    <w:pPr>
      <w:pBdr>
        <w:top w:val="single" w:sz="4" w:space="0" w:color="auto"/>
        <w:right w:val="single" w:sz="4" w:space="0" w:color="auto"/>
      </w:pBdr>
      <w:shd w:val="clear" w:color="000000" w:fill="000000"/>
      <w:spacing w:before="100" w:beforeAutospacing="1" w:after="100" w:afterAutospacing="1" w:line="240" w:lineRule="auto"/>
      <w:textAlignment w:val="center"/>
    </w:pPr>
    <w:rPr>
      <w:rFonts w:eastAsia="Times New Roman"/>
      <w:b/>
      <w:bCs/>
      <w:color w:val="FFFFFF"/>
      <w:szCs w:val="24"/>
    </w:rPr>
  </w:style>
  <w:style w:type="paragraph" w:customStyle="1" w:styleId="xl135">
    <w:name w:val="xl135"/>
    <w:basedOn w:val="Normal"/>
    <w:uiPriority w:val="99"/>
    <w:rsid w:val="00A14DCD"/>
    <w:pPr>
      <w:shd w:val="clear" w:color="000000" w:fill="FFFFFF"/>
      <w:spacing w:before="100" w:beforeAutospacing="1" w:after="100" w:afterAutospacing="1" w:line="240" w:lineRule="auto"/>
      <w:textAlignment w:val="center"/>
    </w:pPr>
    <w:rPr>
      <w:rFonts w:eastAsia="Times New Roman"/>
      <w:b/>
      <w:bCs/>
      <w:color w:val="FFFFFF"/>
      <w:szCs w:val="24"/>
    </w:rPr>
  </w:style>
  <w:style w:type="paragraph" w:customStyle="1" w:styleId="xl136">
    <w:name w:val="xl136"/>
    <w:basedOn w:val="Normal"/>
    <w:uiPriority w:val="99"/>
    <w:rsid w:val="00A14DCD"/>
    <w:pPr>
      <w:pBdr>
        <w:right w:val="single" w:sz="4" w:space="0" w:color="auto"/>
      </w:pBdr>
      <w:shd w:val="clear" w:color="000000" w:fill="FFFFFF"/>
      <w:spacing w:before="100" w:beforeAutospacing="1" w:after="100" w:afterAutospacing="1" w:line="240" w:lineRule="auto"/>
      <w:jc w:val="center"/>
    </w:pPr>
    <w:rPr>
      <w:rFonts w:eastAsia="Times New Roman"/>
      <w:b/>
      <w:bCs/>
      <w:szCs w:val="24"/>
    </w:rPr>
  </w:style>
  <w:style w:type="paragraph" w:customStyle="1" w:styleId="xl137">
    <w:name w:val="xl137"/>
    <w:basedOn w:val="Normal"/>
    <w:uiPriority w:val="99"/>
    <w:rsid w:val="00A14DCD"/>
    <w:pPr>
      <w:pBdr>
        <w:right w:val="single" w:sz="4" w:space="0" w:color="auto"/>
      </w:pBdr>
      <w:shd w:val="clear" w:color="000000" w:fill="BFBFBF"/>
      <w:spacing w:before="100" w:beforeAutospacing="1" w:after="100" w:afterAutospacing="1" w:line="240" w:lineRule="auto"/>
      <w:jc w:val="center"/>
    </w:pPr>
    <w:rPr>
      <w:rFonts w:eastAsia="Times New Roman"/>
      <w:b/>
      <w:bCs/>
      <w:i/>
      <w:iCs/>
      <w:szCs w:val="24"/>
    </w:rPr>
  </w:style>
  <w:style w:type="paragraph" w:customStyle="1" w:styleId="xl138">
    <w:name w:val="xl138"/>
    <w:basedOn w:val="Normal"/>
    <w:uiPriority w:val="99"/>
    <w:rsid w:val="00A14DCD"/>
    <w:pPr>
      <w:pBdr>
        <w:right w:val="single" w:sz="4" w:space="0" w:color="auto"/>
      </w:pBdr>
      <w:shd w:val="clear" w:color="000000" w:fill="FFFFFF"/>
      <w:spacing w:before="100" w:beforeAutospacing="1" w:after="100" w:afterAutospacing="1" w:line="240" w:lineRule="auto"/>
      <w:jc w:val="center"/>
    </w:pPr>
    <w:rPr>
      <w:rFonts w:eastAsia="Times New Roman"/>
      <w:b/>
      <w:bCs/>
      <w:szCs w:val="24"/>
    </w:rPr>
  </w:style>
  <w:style w:type="paragraph" w:customStyle="1" w:styleId="xl139">
    <w:name w:val="xl139"/>
    <w:basedOn w:val="Normal"/>
    <w:uiPriority w:val="99"/>
    <w:rsid w:val="00A14DCD"/>
    <w:pPr>
      <w:pBdr>
        <w:top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140">
    <w:name w:val="xl140"/>
    <w:basedOn w:val="Normal"/>
    <w:uiPriority w:val="99"/>
    <w:rsid w:val="00A14DCD"/>
    <w:pPr>
      <w:pBdr>
        <w:top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141">
    <w:name w:val="xl141"/>
    <w:basedOn w:val="Normal"/>
    <w:uiPriority w:val="99"/>
    <w:rsid w:val="00A14DCD"/>
    <w:pPr>
      <w:spacing w:before="100" w:beforeAutospacing="1" w:after="100" w:afterAutospacing="1" w:line="240" w:lineRule="auto"/>
    </w:pPr>
    <w:rPr>
      <w:rFonts w:eastAsia="Times New Roman"/>
      <w:szCs w:val="24"/>
    </w:rPr>
  </w:style>
  <w:style w:type="paragraph" w:customStyle="1" w:styleId="xl142">
    <w:name w:val="xl142"/>
    <w:basedOn w:val="Normal"/>
    <w:uiPriority w:val="99"/>
    <w:rsid w:val="00A14DCD"/>
    <w:pPr>
      <w:shd w:val="clear" w:color="000000" w:fill="FFFFFF"/>
      <w:spacing w:before="100" w:beforeAutospacing="1" w:after="100" w:afterAutospacing="1" w:line="240" w:lineRule="auto"/>
    </w:pPr>
    <w:rPr>
      <w:rFonts w:eastAsia="Times New Roman"/>
      <w:szCs w:val="24"/>
    </w:rPr>
  </w:style>
  <w:style w:type="paragraph" w:customStyle="1" w:styleId="xl143">
    <w:name w:val="xl143"/>
    <w:basedOn w:val="Normal"/>
    <w:uiPriority w:val="99"/>
    <w:rsid w:val="00A14DCD"/>
    <w:pPr>
      <w:shd w:val="clear" w:color="000000" w:fill="FFFFFF"/>
      <w:spacing w:before="100" w:beforeAutospacing="1" w:after="100" w:afterAutospacing="1" w:line="240" w:lineRule="auto"/>
    </w:pPr>
    <w:rPr>
      <w:rFonts w:eastAsia="Times New Roman"/>
      <w:szCs w:val="24"/>
    </w:rPr>
  </w:style>
  <w:style w:type="paragraph" w:customStyle="1" w:styleId="xl144">
    <w:name w:val="xl144"/>
    <w:basedOn w:val="Normal"/>
    <w:uiPriority w:val="99"/>
    <w:rsid w:val="00A14DCD"/>
    <w:pPr>
      <w:pBdr>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Cs w:val="24"/>
    </w:rPr>
  </w:style>
  <w:style w:type="paragraph" w:customStyle="1" w:styleId="xl145">
    <w:name w:val="xl145"/>
    <w:basedOn w:val="Normal"/>
    <w:uiPriority w:val="99"/>
    <w:rsid w:val="00A14DCD"/>
    <w:pPr>
      <w:pBdr>
        <w:top w:val="single" w:sz="4" w:space="0" w:color="auto"/>
        <w:left w:val="single" w:sz="4" w:space="0" w:color="auto"/>
      </w:pBdr>
      <w:shd w:val="clear" w:color="000000" w:fill="FFFFFF"/>
      <w:spacing w:before="100" w:beforeAutospacing="1" w:after="100" w:afterAutospacing="1" w:line="240" w:lineRule="auto"/>
      <w:jc w:val="right"/>
    </w:pPr>
    <w:rPr>
      <w:rFonts w:eastAsia="Times New Roman"/>
      <w:b/>
      <w:bCs/>
      <w:szCs w:val="24"/>
    </w:rPr>
  </w:style>
  <w:style w:type="paragraph" w:customStyle="1" w:styleId="xl146">
    <w:name w:val="xl146"/>
    <w:basedOn w:val="Normal"/>
    <w:uiPriority w:val="99"/>
    <w:rsid w:val="00A14DCD"/>
    <w:pPr>
      <w:pBdr>
        <w:top w:val="single" w:sz="4" w:space="0" w:color="auto"/>
        <w:right w:val="single" w:sz="4" w:space="0" w:color="auto"/>
      </w:pBdr>
      <w:shd w:val="clear" w:color="000000" w:fill="FFFFFF"/>
      <w:spacing w:before="100" w:beforeAutospacing="1" w:after="100" w:afterAutospacing="1" w:line="240" w:lineRule="auto"/>
      <w:jc w:val="right"/>
    </w:pPr>
    <w:rPr>
      <w:rFonts w:eastAsia="Times New Roman"/>
      <w:b/>
      <w:bCs/>
      <w:szCs w:val="24"/>
    </w:rPr>
  </w:style>
  <w:style w:type="paragraph" w:customStyle="1" w:styleId="xl147">
    <w:name w:val="xl147"/>
    <w:basedOn w:val="Normal"/>
    <w:uiPriority w:val="99"/>
    <w:rsid w:val="00A14DCD"/>
    <w:pPr>
      <w:pBdr>
        <w:top w:val="single" w:sz="4" w:space="0" w:color="auto"/>
        <w:left w:val="single" w:sz="4" w:space="7" w:color="auto"/>
      </w:pBdr>
      <w:shd w:val="clear" w:color="000000" w:fill="FFFFFF"/>
      <w:spacing w:before="100" w:beforeAutospacing="1" w:after="100" w:afterAutospacing="1" w:line="240" w:lineRule="auto"/>
      <w:ind w:firstLineChars="100" w:firstLine="100"/>
    </w:pPr>
    <w:rPr>
      <w:rFonts w:eastAsia="Times New Roman"/>
      <w:b/>
      <w:bCs/>
      <w:szCs w:val="24"/>
    </w:rPr>
  </w:style>
  <w:style w:type="paragraph" w:customStyle="1" w:styleId="xl148">
    <w:name w:val="xl148"/>
    <w:basedOn w:val="Normal"/>
    <w:uiPriority w:val="99"/>
    <w:rsid w:val="00A14DCD"/>
    <w:pPr>
      <w:pBdr>
        <w:left w:val="single" w:sz="4" w:space="7" w:color="auto"/>
      </w:pBdr>
      <w:shd w:val="clear" w:color="000000" w:fill="FFFFFF"/>
      <w:spacing w:before="100" w:beforeAutospacing="1" w:after="100" w:afterAutospacing="1" w:line="240" w:lineRule="auto"/>
      <w:ind w:firstLineChars="100" w:firstLine="100"/>
    </w:pPr>
    <w:rPr>
      <w:rFonts w:eastAsia="Times New Roman"/>
      <w:b/>
      <w:bCs/>
      <w:szCs w:val="24"/>
    </w:rPr>
  </w:style>
  <w:style w:type="paragraph" w:customStyle="1" w:styleId="xl149">
    <w:name w:val="xl149"/>
    <w:basedOn w:val="Normal"/>
    <w:uiPriority w:val="99"/>
    <w:rsid w:val="00A14DCD"/>
    <w:pPr>
      <w:pBdr>
        <w:left w:val="single" w:sz="4" w:space="0" w:color="auto"/>
      </w:pBdr>
      <w:shd w:val="clear" w:color="000000" w:fill="FFFFFF"/>
      <w:spacing w:before="100" w:beforeAutospacing="1" w:after="100" w:afterAutospacing="1" w:line="240" w:lineRule="auto"/>
    </w:pPr>
    <w:rPr>
      <w:rFonts w:eastAsia="Times New Roman"/>
      <w:b/>
      <w:bCs/>
      <w:szCs w:val="24"/>
    </w:rPr>
  </w:style>
  <w:style w:type="paragraph" w:customStyle="1" w:styleId="xl150">
    <w:name w:val="xl150"/>
    <w:basedOn w:val="Normal"/>
    <w:uiPriority w:val="99"/>
    <w:rsid w:val="00A14DCD"/>
    <w:pPr>
      <w:pBdr>
        <w:right w:val="single" w:sz="4" w:space="0" w:color="auto"/>
      </w:pBdr>
      <w:shd w:val="clear" w:color="000000" w:fill="FFFFFF"/>
      <w:spacing w:before="100" w:beforeAutospacing="1" w:after="100" w:afterAutospacing="1" w:line="240" w:lineRule="auto"/>
    </w:pPr>
    <w:rPr>
      <w:rFonts w:eastAsia="Times New Roman"/>
      <w:b/>
      <w:bCs/>
      <w:szCs w:val="24"/>
    </w:rPr>
  </w:style>
  <w:style w:type="paragraph" w:customStyle="1" w:styleId="xl151">
    <w:name w:val="xl151"/>
    <w:basedOn w:val="Normal"/>
    <w:uiPriority w:val="99"/>
    <w:rsid w:val="00A14DCD"/>
    <w:pPr>
      <w:pBdr>
        <w:left w:val="single" w:sz="4" w:space="0" w:color="auto"/>
      </w:pBdr>
      <w:shd w:val="clear" w:color="000000" w:fill="FFFFFF"/>
      <w:spacing w:before="100" w:beforeAutospacing="1" w:after="100" w:afterAutospacing="1" w:line="240" w:lineRule="auto"/>
      <w:jc w:val="right"/>
    </w:pPr>
    <w:rPr>
      <w:rFonts w:eastAsia="Times New Roman"/>
      <w:i/>
      <w:iCs/>
      <w:szCs w:val="24"/>
    </w:rPr>
  </w:style>
  <w:style w:type="paragraph" w:customStyle="1" w:styleId="xl152">
    <w:name w:val="xl152"/>
    <w:basedOn w:val="Normal"/>
    <w:uiPriority w:val="99"/>
    <w:rsid w:val="00A14DCD"/>
    <w:pPr>
      <w:pBdr>
        <w:left w:val="single" w:sz="4" w:space="0" w:color="auto"/>
        <w:bottom w:val="single" w:sz="4" w:space="0" w:color="auto"/>
      </w:pBdr>
      <w:shd w:val="clear" w:color="000000" w:fill="FFFFFF"/>
      <w:spacing w:before="100" w:beforeAutospacing="1" w:after="100" w:afterAutospacing="1" w:line="240" w:lineRule="auto"/>
      <w:jc w:val="right"/>
    </w:pPr>
    <w:rPr>
      <w:rFonts w:eastAsia="Times New Roman"/>
      <w:szCs w:val="24"/>
    </w:rPr>
  </w:style>
  <w:style w:type="paragraph" w:customStyle="1" w:styleId="xl153">
    <w:name w:val="xl153"/>
    <w:basedOn w:val="Normal"/>
    <w:uiPriority w:val="99"/>
    <w:rsid w:val="00A14DCD"/>
    <w:pPr>
      <w:shd w:val="clear" w:color="000000" w:fill="FFFFFF"/>
      <w:spacing w:before="100" w:beforeAutospacing="1" w:after="100" w:afterAutospacing="1" w:line="240" w:lineRule="auto"/>
      <w:textAlignment w:val="center"/>
    </w:pPr>
    <w:rPr>
      <w:rFonts w:eastAsia="Times New Roman"/>
      <w:szCs w:val="24"/>
    </w:rPr>
  </w:style>
  <w:style w:type="paragraph" w:customStyle="1" w:styleId="xl154">
    <w:name w:val="xl154"/>
    <w:basedOn w:val="Normal"/>
    <w:uiPriority w:val="99"/>
    <w:rsid w:val="00A14DCD"/>
    <w:pPr>
      <w:pBdr>
        <w:top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Cs w:val="24"/>
    </w:rPr>
  </w:style>
  <w:style w:type="paragraph" w:customStyle="1" w:styleId="xl155">
    <w:name w:val="xl155"/>
    <w:basedOn w:val="Normal"/>
    <w:uiPriority w:val="99"/>
    <w:rsid w:val="00A14DCD"/>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Cs w:val="24"/>
    </w:rPr>
  </w:style>
  <w:style w:type="paragraph" w:customStyle="1" w:styleId="xl156">
    <w:name w:val="xl156"/>
    <w:basedOn w:val="Normal"/>
    <w:uiPriority w:val="99"/>
    <w:rsid w:val="00A14DCD"/>
    <w:pPr>
      <w:pBdr>
        <w:bottom w:val="single" w:sz="4" w:space="0" w:color="auto"/>
      </w:pBdr>
      <w:shd w:val="clear" w:color="000000" w:fill="FFFFFF"/>
      <w:spacing w:before="100" w:beforeAutospacing="1" w:after="100" w:afterAutospacing="1" w:line="240" w:lineRule="auto"/>
      <w:textAlignment w:val="center"/>
    </w:pPr>
    <w:rPr>
      <w:rFonts w:eastAsia="Times New Roman"/>
      <w:szCs w:val="24"/>
    </w:rPr>
  </w:style>
  <w:style w:type="paragraph" w:customStyle="1" w:styleId="xl157">
    <w:name w:val="xl157"/>
    <w:basedOn w:val="Normal"/>
    <w:uiPriority w:val="99"/>
    <w:rsid w:val="00A14DCD"/>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eastAsia="Times New Roman"/>
      <w:b/>
      <w:bCs/>
      <w:szCs w:val="24"/>
    </w:rPr>
  </w:style>
  <w:style w:type="paragraph" w:customStyle="1" w:styleId="xl158">
    <w:name w:val="xl158"/>
    <w:basedOn w:val="Normal"/>
    <w:uiPriority w:val="99"/>
    <w:rsid w:val="00A14DCD"/>
    <w:pPr>
      <w:pBdr>
        <w:top w:val="single" w:sz="4" w:space="0" w:color="auto"/>
        <w:bottom w:val="single" w:sz="4" w:space="0" w:color="auto"/>
      </w:pBdr>
      <w:shd w:val="clear" w:color="000000" w:fill="BFBFBF"/>
      <w:spacing w:before="100" w:beforeAutospacing="1" w:after="100" w:afterAutospacing="1" w:line="240" w:lineRule="auto"/>
      <w:jc w:val="center"/>
    </w:pPr>
    <w:rPr>
      <w:rFonts w:eastAsia="Times New Roman"/>
      <w:i/>
      <w:iCs/>
      <w:szCs w:val="24"/>
    </w:rPr>
  </w:style>
  <w:style w:type="paragraph" w:customStyle="1" w:styleId="xl159">
    <w:name w:val="xl159"/>
    <w:basedOn w:val="Normal"/>
    <w:uiPriority w:val="99"/>
    <w:rsid w:val="00A14DCD"/>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i/>
      <w:iCs/>
      <w:szCs w:val="24"/>
    </w:rPr>
  </w:style>
  <w:style w:type="paragraph" w:customStyle="1" w:styleId="xl160">
    <w:name w:val="xl160"/>
    <w:basedOn w:val="Normal"/>
    <w:uiPriority w:val="99"/>
    <w:rsid w:val="00A14DCD"/>
    <w:pPr>
      <w:pBdr>
        <w:bottom w:val="single" w:sz="4" w:space="0" w:color="auto"/>
      </w:pBdr>
      <w:shd w:val="clear" w:color="000000" w:fill="D8D8D8"/>
      <w:spacing w:before="100" w:beforeAutospacing="1" w:after="100" w:afterAutospacing="1" w:line="240" w:lineRule="auto"/>
    </w:pPr>
    <w:rPr>
      <w:rFonts w:eastAsia="Times New Roman"/>
      <w:szCs w:val="24"/>
    </w:rPr>
  </w:style>
  <w:style w:type="paragraph" w:customStyle="1" w:styleId="xl161">
    <w:name w:val="xl161"/>
    <w:basedOn w:val="Normal"/>
    <w:uiPriority w:val="99"/>
    <w:rsid w:val="00A14DCD"/>
    <w:pPr>
      <w:pBdr>
        <w:bottom w:val="single" w:sz="4" w:space="0" w:color="auto"/>
      </w:pBdr>
      <w:shd w:val="clear" w:color="000000" w:fill="D8D8D8"/>
      <w:spacing w:before="100" w:beforeAutospacing="1" w:after="100" w:afterAutospacing="1" w:line="240" w:lineRule="auto"/>
    </w:pPr>
    <w:rPr>
      <w:rFonts w:eastAsia="Times New Roman"/>
      <w:szCs w:val="24"/>
    </w:rPr>
  </w:style>
  <w:style w:type="paragraph" w:customStyle="1" w:styleId="xl162">
    <w:name w:val="xl162"/>
    <w:basedOn w:val="Normal"/>
    <w:uiPriority w:val="99"/>
    <w:rsid w:val="00A14DCD"/>
    <w:pPr>
      <w:shd w:val="clear" w:color="000000" w:fill="FFFFFF"/>
      <w:spacing w:before="100" w:beforeAutospacing="1" w:after="100" w:afterAutospacing="1" w:line="240" w:lineRule="auto"/>
      <w:textAlignment w:val="center"/>
    </w:pPr>
    <w:rPr>
      <w:rFonts w:eastAsia="Times New Roman"/>
      <w:b/>
      <w:bCs/>
      <w:szCs w:val="24"/>
    </w:rPr>
  </w:style>
  <w:style w:type="paragraph" w:customStyle="1" w:styleId="xl163">
    <w:name w:val="xl163"/>
    <w:basedOn w:val="Normal"/>
    <w:uiPriority w:val="99"/>
    <w:rsid w:val="00A14DCD"/>
    <w:pPr>
      <w:shd w:val="clear" w:color="000000" w:fill="FFFFFF"/>
      <w:spacing w:before="100" w:beforeAutospacing="1" w:after="100" w:afterAutospacing="1" w:line="240" w:lineRule="auto"/>
      <w:textAlignment w:val="top"/>
    </w:pPr>
    <w:rPr>
      <w:rFonts w:eastAsia="Times New Roman"/>
      <w:szCs w:val="24"/>
    </w:rPr>
  </w:style>
  <w:style w:type="paragraph" w:customStyle="1" w:styleId="xl164">
    <w:name w:val="xl164"/>
    <w:basedOn w:val="Normal"/>
    <w:uiPriority w:val="99"/>
    <w:rsid w:val="00A14DCD"/>
    <w:pPr>
      <w:pBdr>
        <w:left w:val="single" w:sz="4" w:space="0" w:color="auto"/>
        <w:bottom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165">
    <w:name w:val="xl165"/>
    <w:basedOn w:val="Normal"/>
    <w:uiPriority w:val="99"/>
    <w:rsid w:val="00A14DCD"/>
    <w:pPr>
      <w:pBdr>
        <w:bottom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166">
    <w:name w:val="xl166"/>
    <w:basedOn w:val="Normal"/>
    <w:uiPriority w:val="99"/>
    <w:rsid w:val="00A14DCD"/>
    <w:pPr>
      <w:pBdr>
        <w:bottom w:val="single" w:sz="4" w:space="0" w:color="auto"/>
        <w:righ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167">
    <w:name w:val="xl167"/>
    <w:basedOn w:val="Normal"/>
    <w:uiPriority w:val="99"/>
    <w:rsid w:val="00A14DCD"/>
    <w:pPr>
      <w:pBdr>
        <w:lef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168">
    <w:name w:val="xl168"/>
    <w:basedOn w:val="Normal"/>
    <w:uiPriority w:val="99"/>
    <w:rsid w:val="00A14DCD"/>
    <w:pPr>
      <w:shd w:val="clear" w:color="000000" w:fill="FFFFFF"/>
      <w:spacing w:before="100" w:beforeAutospacing="1" w:after="100" w:afterAutospacing="1" w:line="240" w:lineRule="auto"/>
    </w:pPr>
    <w:rPr>
      <w:rFonts w:eastAsia="Times New Roman"/>
      <w:szCs w:val="24"/>
    </w:rPr>
  </w:style>
  <w:style w:type="paragraph" w:customStyle="1" w:styleId="xl169">
    <w:name w:val="xl169"/>
    <w:basedOn w:val="Normal"/>
    <w:uiPriority w:val="99"/>
    <w:rsid w:val="00A14DCD"/>
    <w:pPr>
      <w:pBdr>
        <w:top w:val="single" w:sz="4" w:space="0" w:color="auto"/>
        <w:left w:val="single" w:sz="4" w:space="0" w:color="auto"/>
      </w:pBdr>
      <w:shd w:val="clear" w:color="000000" w:fill="000000"/>
      <w:spacing w:before="100" w:beforeAutospacing="1" w:after="100" w:afterAutospacing="1" w:line="240" w:lineRule="auto"/>
    </w:pPr>
    <w:rPr>
      <w:rFonts w:eastAsia="Times New Roman"/>
      <w:b/>
      <w:bCs/>
      <w:color w:val="FFFFFF"/>
      <w:szCs w:val="24"/>
    </w:rPr>
  </w:style>
  <w:style w:type="paragraph" w:customStyle="1" w:styleId="xl170">
    <w:name w:val="xl170"/>
    <w:basedOn w:val="Normal"/>
    <w:uiPriority w:val="99"/>
    <w:rsid w:val="00A14DCD"/>
    <w:pPr>
      <w:pBdr>
        <w:top w:val="single" w:sz="4" w:space="0" w:color="auto"/>
      </w:pBdr>
      <w:shd w:val="clear" w:color="000000" w:fill="000000"/>
      <w:spacing w:before="100" w:beforeAutospacing="1" w:after="100" w:afterAutospacing="1" w:line="240" w:lineRule="auto"/>
    </w:pPr>
    <w:rPr>
      <w:rFonts w:eastAsia="Times New Roman"/>
      <w:b/>
      <w:bCs/>
      <w:color w:val="FFFFFF"/>
      <w:szCs w:val="24"/>
    </w:rPr>
  </w:style>
  <w:style w:type="paragraph" w:customStyle="1" w:styleId="xl171">
    <w:name w:val="xl171"/>
    <w:basedOn w:val="Normal"/>
    <w:uiPriority w:val="99"/>
    <w:rsid w:val="00A14DCD"/>
    <w:pPr>
      <w:pBdr>
        <w:top w:val="single" w:sz="4" w:space="0" w:color="auto"/>
        <w:right w:val="single" w:sz="4" w:space="0" w:color="auto"/>
      </w:pBdr>
      <w:shd w:val="clear" w:color="000000" w:fill="000000"/>
      <w:spacing w:before="100" w:beforeAutospacing="1" w:after="100" w:afterAutospacing="1" w:line="240" w:lineRule="auto"/>
    </w:pPr>
    <w:rPr>
      <w:rFonts w:eastAsia="Times New Roman"/>
      <w:b/>
      <w:bCs/>
      <w:color w:val="FFFFFF"/>
      <w:szCs w:val="24"/>
    </w:rPr>
  </w:style>
  <w:style w:type="paragraph" w:customStyle="1" w:styleId="xl172">
    <w:name w:val="xl172"/>
    <w:basedOn w:val="Normal"/>
    <w:uiPriority w:val="99"/>
    <w:rsid w:val="00A14DCD"/>
    <w:pPr>
      <w:pBdr>
        <w:left w:val="single" w:sz="4" w:space="0" w:color="auto"/>
      </w:pBdr>
      <w:shd w:val="clear" w:color="000000" w:fill="BFBFBF"/>
      <w:spacing w:before="100" w:beforeAutospacing="1" w:after="100" w:afterAutospacing="1" w:line="240" w:lineRule="auto"/>
    </w:pPr>
    <w:rPr>
      <w:rFonts w:eastAsia="Times New Roman"/>
      <w:i/>
      <w:iCs/>
      <w:szCs w:val="24"/>
    </w:rPr>
  </w:style>
  <w:style w:type="paragraph" w:customStyle="1" w:styleId="xl173">
    <w:name w:val="xl173"/>
    <w:basedOn w:val="Normal"/>
    <w:uiPriority w:val="99"/>
    <w:rsid w:val="00A14DCD"/>
    <w:pPr>
      <w:shd w:val="clear" w:color="000000" w:fill="BFBFBF"/>
      <w:spacing w:before="100" w:beforeAutospacing="1" w:after="100" w:afterAutospacing="1" w:line="240" w:lineRule="auto"/>
    </w:pPr>
    <w:rPr>
      <w:rFonts w:eastAsia="Times New Roman"/>
      <w:i/>
      <w:iCs/>
      <w:szCs w:val="24"/>
    </w:rPr>
  </w:style>
  <w:style w:type="paragraph" w:customStyle="1" w:styleId="xl174">
    <w:name w:val="xl174"/>
    <w:basedOn w:val="Normal"/>
    <w:uiPriority w:val="99"/>
    <w:rsid w:val="00A14DCD"/>
    <w:pPr>
      <w:pBdr>
        <w:right w:val="single" w:sz="4" w:space="0" w:color="auto"/>
      </w:pBdr>
      <w:shd w:val="clear" w:color="000000" w:fill="BFBFBF"/>
      <w:spacing w:before="100" w:beforeAutospacing="1" w:after="100" w:afterAutospacing="1" w:line="240" w:lineRule="auto"/>
    </w:pPr>
    <w:rPr>
      <w:rFonts w:eastAsia="Times New Roman"/>
      <w:i/>
      <w:iCs/>
      <w:szCs w:val="24"/>
    </w:rPr>
  </w:style>
  <w:style w:type="paragraph" w:customStyle="1" w:styleId="xl175">
    <w:name w:val="xl175"/>
    <w:basedOn w:val="Normal"/>
    <w:uiPriority w:val="99"/>
    <w:rsid w:val="00A14DCD"/>
    <w:pPr>
      <w:shd w:val="clear" w:color="000000" w:fill="FFFFFF"/>
      <w:spacing w:before="100" w:beforeAutospacing="1" w:after="100" w:afterAutospacing="1" w:line="240" w:lineRule="auto"/>
    </w:pPr>
    <w:rPr>
      <w:rFonts w:eastAsia="Times New Roman"/>
      <w:szCs w:val="24"/>
    </w:rPr>
  </w:style>
  <w:style w:type="paragraph" w:customStyle="1" w:styleId="xl176">
    <w:name w:val="xl176"/>
    <w:basedOn w:val="Normal"/>
    <w:uiPriority w:val="99"/>
    <w:rsid w:val="00A14DCD"/>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szCs w:val="24"/>
    </w:rPr>
  </w:style>
  <w:style w:type="paragraph" w:customStyle="1" w:styleId="xl177">
    <w:name w:val="xl177"/>
    <w:basedOn w:val="Normal"/>
    <w:uiPriority w:val="99"/>
    <w:rsid w:val="00A14DCD"/>
    <w:pPr>
      <w:pBdr>
        <w:top w:val="single" w:sz="4" w:space="0" w:color="auto"/>
      </w:pBdr>
      <w:shd w:val="clear" w:color="000000" w:fill="FFFFFF"/>
      <w:spacing w:before="100" w:beforeAutospacing="1" w:after="100" w:afterAutospacing="1" w:line="240" w:lineRule="auto"/>
      <w:textAlignment w:val="center"/>
    </w:pPr>
    <w:rPr>
      <w:rFonts w:eastAsia="Times New Roman"/>
      <w:szCs w:val="24"/>
    </w:rPr>
  </w:style>
  <w:style w:type="paragraph" w:customStyle="1" w:styleId="xl178">
    <w:name w:val="xl178"/>
    <w:basedOn w:val="Normal"/>
    <w:uiPriority w:val="99"/>
    <w:rsid w:val="00A14DCD"/>
    <w:pPr>
      <w:pBdr>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sz w:val="20"/>
      <w:szCs w:val="20"/>
    </w:rPr>
  </w:style>
  <w:style w:type="paragraph" w:customStyle="1" w:styleId="xl179">
    <w:name w:val="xl179"/>
    <w:basedOn w:val="Normal"/>
    <w:uiPriority w:val="99"/>
    <w:rsid w:val="00A14DCD"/>
    <w:pPr>
      <w:pBdr>
        <w:bottom w:val="single" w:sz="4" w:space="0" w:color="auto"/>
      </w:pBdr>
      <w:shd w:val="clear" w:color="000000" w:fill="FFFFFF"/>
      <w:spacing w:before="100" w:beforeAutospacing="1" w:after="100" w:afterAutospacing="1" w:line="240" w:lineRule="auto"/>
      <w:textAlignment w:val="top"/>
    </w:pPr>
    <w:rPr>
      <w:rFonts w:eastAsia="Times New Roman"/>
      <w:sz w:val="20"/>
      <w:szCs w:val="20"/>
    </w:rPr>
  </w:style>
  <w:style w:type="paragraph" w:customStyle="1" w:styleId="xl180">
    <w:name w:val="xl180"/>
    <w:basedOn w:val="Normal"/>
    <w:uiPriority w:val="99"/>
    <w:rsid w:val="00A14DCD"/>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0"/>
      <w:szCs w:val="20"/>
    </w:rPr>
  </w:style>
  <w:style w:type="character" w:customStyle="1" w:styleId="st">
    <w:name w:val="st"/>
    <w:basedOn w:val="DefaultParagraphFont"/>
    <w:uiPriority w:val="99"/>
    <w:rsid w:val="00A14DCD"/>
    <w:rPr>
      <w:rFonts w:cs="Times New Roman"/>
    </w:rPr>
  </w:style>
  <w:style w:type="character" w:styleId="Emphasis">
    <w:name w:val="Emphasis"/>
    <w:basedOn w:val="DefaultParagraphFont"/>
    <w:uiPriority w:val="20"/>
    <w:qFormat/>
    <w:rsid w:val="00A14DCD"/>
    <w:rPr>
      <w:rFonts w:cs="Times New Roman"/>
      <w:i/>
    </w:rPr>
  </w:style>
  <w:style w:type="paragraph" w:customStyle="1" w:styleId="ColorfulList-Accent11">
    <w:name w:val="Colorful List - Accent 11"/>
    <w:basedOn w:val="Normal"/>
    <w:uiPriority w:val="34"/>
    <w:qFormat/>
    <w:rsid w:val="00A14DCD"/>
    <w:pPr>
      <w:spacing w:after="0" w:line="240" w:lineRule="auto"/>
      <w:ind w:left="720"/>
      <w:contextualSpacing/>
    </w:pPr>
  </w:style>
  <w:style w:type="paragraph" w:styleId="PlainText">
    <w:name w:val="Plain Text"/>
    <w:basedOn w:val="Normal"/>
    <w:link w:val="PlainTextChar"/>
    <w:uiPriority w:val="99"/>
    <w:unhideWhenUsed/>
    <w:rsid w:val="00A14D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14DCD"/>
    <w:rPr>
      <w:rFonts w:ascii="Consolas" w:eastAsia="Calibri" w:hAnsi="Consolas" w:cs="Times New Roman"/>
      <w:sz w:val="21"/>
      <w:szCs w:val="21"/>
    </w:rPr>
  </w:style>
  <w:style w:type="character" w:customStyle="1" w:styleId="ptext-01">
    <w:name w:val="ptext-01"/>
    <w:basedOn w:val="DefaultParagraphFont"/>
    <w:rsid w:val="00A14DCD"/>
  </w:style>
  <w:style w:type="character" w:customStyle="1" w:styleId="ptext-14">
    <w:name w:val="ptext-14"/>
    <w:basedOn w:val="DefaultParagraphFont"/>
    <w:rsid w:val="00A14DCD"/>
  </w:style>
  <w:style w:type="character" w:customStyle="1" w:styleId="DocumentMapChar">
    <w:name w:val="Document Map Char"/>
    <w:basedOn w:val="DefaultParagraphFont"/>
    <w:link w:val="DocumentMap"/>
    <w:uiPriority w:val="99"/>
    <w:semiHidden/>
    <w:rsid w:val="00A14DCD"/>
    <w:rPr>
      <w:rFonts w:ascii="Tahoma" w:eastAsia="Calibri" w:hAnsi="Tahoma" w:cs="Tahoma"/>
      <w:sz w:val="16"/>
      <w:szCs w:val="16"/>
    </w:rPr>
  </w:style>
  <w:style w:type="paragraph" w:styleId="DocumentMap">
    <w:name w:val="Document Map"/>
    <w:basedOn w:val="Normal"/>
    <w:link w:val="DocumentMapChar"/>
    <w:uiPriority w:val="99"/>
    <w:semiHidden/>
    <w:unhideWhenUsed/>
    <w:rsid w:val="00A14DCD"/>
    <w:pPr>
      <w:spacing w:after="0" w:line="240" w:lineRule="auto"/>
    </w:pPr>
    <w:rPr>
      <w:rFonts w:ascii="Tahoma" w:hAnsi="Tahoma" w:cs="Tahoma"/>
      <w:sz w:val="16"/>
      <w:szCs w:val="16"/>
    </w:rPr>
  </w:style>
  <w:style w:type="paragraph" w:customStyle="1" w:styleId="listparagraph0">
    <w:name w:val="listparagraph"/>
    <w:basedOn w:val="Normal"/>
    <w:uiPriority w:val="99"/>
    <w:rsid w:val="00A14DCD"/>
    <w:pPr>
      <w:spacing w:after="0" w:line="240" w:lineRule="auto"/>
    </w:pPr>
    <w:rPr>
      <w:rFonts w:eastAsiaTheme="minorHAnsi"/>
      <w:szCs w:val="24"/>
    </w:rPr>
  </w:style>
  <w:style w:type="character" w:customStyle="1" w:styleId="EndnoteTextChar">
    <w:name w:val="Endnote Text Char"/>
    <w:basedOn w:val="DefaultParagraphFont"/>
    <w:link w:val="EndnoteText"/>
    <w:uiPriority w:val="99"/>
    <w:semiHidden/>
    <w:rsid w:val="00A14DCD"/>
    <w:rPr>
      <w:rFonts w:ascii="Times New Roman" w:eastAsia="Calibri" w:hAnsi="Times New Roman" w:cs="Times New Roman"/>
      <w:sz w:val="20"/>
      <w:szCs w:val="20"/>
    </w:rPr>
  </w:style>
  <w:style w:type="paragraph" w:styleId="EndnoteText">
    <w:name w:val="endnote text"/>
    <w:basedOn w:val="Normal"/>
    <w:link w:val="EndnoteTextChar"/>
    <w:uiPriority w:val="99"/>
    <w:semiHidden/>
    <w:unhideWhenUsed/>
    <w:rsid w:val="00A14DCD"/>
    <w:pPr>
      <w:spacing w:after="0" w:line="240" w:lineRule="auto"/>
    </w:pPr>
    <w:rPr>
      <w:sz w:val="20"/>
      <w:szCs w:val="20"/>
    </w:rPr>
  </w:style>
  <w:style w:type="table" w:customStyle="1" w:styleId="TableGrid2">
    <w:name w:val="Table Grid2"/>
    <w:basedOn w:val="TableNormal"/>
    <w:next w:val="TableGrid"/>
    <w:uiPriority w:val="59"/>
    <w:rsid w:val="00A14DC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14DC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14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A14DCD"/>
    <w:rPr>
      <w:rFonts w:ascii="Courier New" w:hAnsi="Courier New" w:cs="Courier New"/>
      <w:sz w:val="20"/>
      <w:szCs w:val="20"/>
    </w:rPr>
  </w:style>
  <w:style w:type="character" w:styleId="FollowedHyperlink">
    <w:name w:val="FollowedHyperlink"/>
    <w:basedOn w:val="DefaultParagraphFont"/>
    <w:uiPriority w:val="99"/>
    <w:semiHidden/>
    <w:unhideWhenUsed/>
    <w:rsid w:val="00DB275A"/>
    <w:rPr>
      <w:color w:val="954F72" w:themeColor="followedHyperlink"/>
      <w:u w:val="single"/>
    </w:rPr>
  </w:style>
  <w:style w:type="character" w:styleId="EndnoteReference">
    <w:name w:val="endnote reference"/>
    <w:basedOn w:val="DefaultParagraphFont"/>
    <w:uiPriority w:val="99"/>
    <w:semiHidden/>
    <w:unhideWhenUsed/>
    <w:rsid w:val="007F7A05"/>
    <w:rPr>
      <w:vertAlign w:val="superscript"/>
    </w:rPr>
  </w:style>
  <w:style w:type="character" w:customStyle="1" w:styleId="UnresolvedMention1">
    <w:name w:val="Unresolved Mention1"/>
    <w:basedOn w:val="DefaultParagraphFont"/>
    <w:uiPriority w:val="99"/>
    <w:semiHidden/>
    <w:unhideWhenUsed/>
    <w:rsid w:val="007F7A05"/>
    <w:rPr>
      <w:color w:val="808080"/>
      <w:shd w:val="clear" w:color="auto" w:fill="E6E6E6"/>
    </w:rPr>
  </w:style>
  <w:style w:type="character" w:styleId="PlaceholderText">
    <w:name w:val="Placeholder Text"/>
    <w:basedOn w:val="DefaultParagraphFont"/>
    <w:uiPriority w:val="99"/>
    <w:semiHidden/>
    <w:rsid w:val="002E0670"/>
    <w:rPr>
      <w:color w:val="808080"/>
    </w:rPr>
  </w:style>
  <w:style w:type="character" w:customStyle="1" w:styleId="UnresolvedMention2">
    <w:name w:val="Unresolved Mention2"/>
    <w:basedOn w:val="DefaultParagraphFont"/>
    <w:uiPriority w:val="99"/>
    <w:semiHidden/>
    <w:unhideWhenUsed/>
    <w:rsid w:val="00484B4B"/>
    <w:rPr>
      <w:color w:val="605E5C"/>
      <w:shd w:val="clear" w:color="auto" w:fill="E1DFDD"/>
    </w:rPr>
  </w:style>
  <w:style w:type="character" w:customStyle="1" w:styleId="UnresolvedMention3">
    <w:name w:val="Unresolved Mention3"/>
    <w:basedOn w:val="DefaultParagraphFont"/>
    <w:uiPriority w:val="99"/>
    <w:semiHidden/>
    <w:unhideWhenUsed/>
    <w:rsid w:val="00BC463B"/>
    <w:rPr>
      <w:color w:val="605E5C"/>
      <w:shd w:val="clear" w:color="auto" w:fill="E1DFDD"/>
    </w:rPr>
  </w:style>
  <w:style w:type="character" w:customStyle="1" w:styleId="UnresolvedMention4">
    <w:name w:val="Unresolved Mention4"/>
    <w:basedOn w:val="DefaultParagraphFont"/>
    <w:uiPriority w:val="99"/>
    <w:semiHidden/>
    <w:unhideWhenUsed/>
    <w:rsid w:val="00697187"/>
    <w:rPr>
      <w:color w:val="605E5C"/>
      <w:shd w:val="clear" w:color="auto" w:fill="E1DFDD"/>
    </w:rPr>
  </w:style>
  <w:style w:type="character" w:customStyle="1" w:styleId="UnresolvedMention5">
    <w:name w:val="Unresolved Mention5"/>
    <w:basedOn w:val="DefaultParagraphFont"/>
    <w:uiPriority w:val="99"/>
    <w:semiHidden/>
    <w:unhideWhenUsed/>
    <w:rsid w:val="00317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69908">
      <w:bodyDiv w:val="1"/>
      <w:marLeft w:val="0"/>
      <w:marRight w:val="0"/>
      <w:marTop w:val="0"/>
      <w:marBottom w:val="0"/>
      <w:divBdr>
        <w:top w:val="none" w:sz="0" w:space="0" w:color="auto"/>
        <w:left w:val="none" w:sz="0" w:space="0" w:color="auto"/>
        <w:bottom w:val="none" w:sz="0" w:space="0" w:color="auto"/>
        <w:right w:val="none" w:sz="0" w:space="0" w:color="auto"/>
      </w:divBdr>
    </w:div>
    <w:div w:id="325935396">
      <w:bodyDiv w:val="1"/>
      <w:marLeft w:val="0"/>
      <w:marRight w:val="0"/>
      <w:marTop w:val="0"/>
      <w:marBottom w:val="0"/>
      <w:divBdr>
        <w:top w:val="none" w:sz="0" w:space="0" w:color="auto"/>
        <w:left w:val="none" w:sz="0" w:space="0" w:color="auto"/>
        <w:bottom w:val="none" w:sz="0" w:space="0" w:color="auto"/>
        <w:right w:val="none" w:sz="0" w:space="0" w:color="auto"/>
      </w:divBdr>
    </w:div>
    <w:div w:id="479270845">
      <w:bodyDiv w:val="1"/>
      <w:marLeft w:val="0"/>
      <w:marRight w:val="0"/>
      <w:marTop w:val="0"/>
      <w:marBottom w:val="0"/>
      <w:divBdr>
        <w:top w:val="none" w:sz="0" w:space="0" w:color="auto"/>
        <w:left w:val="none" w:sz="0" w:space="0" w:color="auto"/>
        <w:bottom w:val="none" w:sz="0" w:space="0" w:color="auto"/>
        <w:right w:val="none" w:sz="0" w:space="0" w:color="auto"/>
      </w:divBdr>
    </w:div>
    <w:div w:id="902832723">
      <w:bodyDiv w:val="1"/>
      <w:marLeft w:val="0"/>
      <w:marRight w:val="0"/>
      <w:marTop w:val="0"/>
      <w:marBottom w:val="0"/>
      <w:divBdr>
        <w:top w:val="none" w:sz="0" w:space="0" w:color="auto"/>
        <w:left w:val="none" w:sz="0" w:space="0" w:color="auto"/>
        <w:bottom w:val="none" w:sz="0" w:space="0" w:color="auto"/>
        <w:right w:val="none" w:sz="0" w:space="0" w:color="auto"/>
      </w:divBdr>
    </w:div>
    <w:div w:id="958075155">
      <w:bodyDiv w:val="1"/>
      <w:marLeft w:val="0"/>
      <w:marRight w:val="0"/>
      <w:marTop w:val="0"/>
      <w:marBottom w:val="0"/>
      <w:divBdr>
        <w:top w:val="none" w:sz="0" w:space="0" w:color="auto"/>
        <w:left w:val="none" w:sz="0" w:space="0" w:color="auto"/>
        <w:bottom w:val="none" w:sz="0" w:space="0" w:color="auto"/>
        <w:right w:val="none" w:sz="0" w:space="0" w:color="auto"/>
      </w:divBdr>
    </w:div>
    <w:div w:id="1058701285">
      <w:bodyDiv w:val="1"/>
      <w:marLeft w:val="0"/>
      <w:marRight w:val="0"/>
      <w:marTop w:val="0"/>
      <w:marBottom w:val="0"/>
      <w:divBdr>
        <w:top w:val="none" w:sz="0" w:space="0" w:color="auto"/>
        <w:left w:val="none" w:sz="0" w:space="0" w:color="auto"/>
        <w:bottom w:val="none" w:sz="0" w:space="0" w:color="auto"/>
        <w:right w:val="none" w:sz="0" w:space="0" w:color="auto"/>
      </w:divBdr>
    </w:div>
    <w:div w:id="1207833238">
      <w:bodyDiv w:val="1"/>
      <w:marLeft w:val="0"/>
      <w:marRight w:val="0"/>
      <w:marTop w:val="0"/>
      <w:marBottom w:val="0"/>
      <w:divBdr>
        <w:top w:val="none" w:sz="0" w:space="0" w:color="auto"/>
        <w:left w:val="none" w:sz="0" w:space="0" w:color="auto"/>
        <w:bottom w:val="none" w:sz="0" w:space="0" w:color="auto"/>
        <w:right w:val="none" w:sz="0" w:space="0" w:color="auto"/>
      </w:divBdr>
    </w:div>
    <w:div w:id="1272979782">
      <w:bodyDiv w:val="1"/>
      <w:marLeft w:val="0"/>
      <w:marRight w:val="0"/>
      <w:marTop w:val="0"/>
      <w:marBottom w:val="0"/>
      <w:divBdr>
        <w:top w:val="none" w:sz="0" w:space="0" w:color="auto"/>
        <w:left w:val="none" w:sz="0" w:space="0" w:color="auto"/>
        <w:bottom w:val="none" w:sz="0" w:space="0" w:color="auto"/>
        <w:right w:val="none" w:sz="0" w:space="0" w:color="auto"/>
      </w:divBdr>
    </w:div>
    <w:div w:id="1465271295">
      <w:bodyDiv w:val="1"/>
      <w:marLeft w:val="0"/>
      <w:marRight w:val="0"/>
      <w:marTop w:val="0"/>
      <w:marBottom w:val="0"/>
      <w:divBdr>
        <w:top w:val="none" w:sz="0" w:space="0" w:color="auto"/>
        <w:left w:val="none" w:sz="0" w:space="0" w:color="auto"/>
        <w:bottom w:val="none" w:sz="0" w:space="0" w:color="auto"/>
        <w:right w:val="none" w:sz="0" w:space="0" w:color="auto"/>
      </w:divBdr>
    </w:div>
    <w:div w:id="1547260040">
      <w:bodyDiv w:val="1"/>
      <w:marLeft w:val="0"/>
      <w:marRight w:val="0"/>
      <w:marTop w:val="0"/>
      <w:marBottom w:val="0"/>
      <w:divBdr>
        <w:top w:val="none" w:sz="0" w:space="0" w:color="auto"/>
        <w:left w:val="none" w:sz="0" w:space="0" w:color="auto"/>
        <w:bottom w:val="none" w:sz="0" w:space="0" w:color="auto"/>
        <w:right w:val="none" w:sz="0" w:space="0" w:color="auto"/>
      </w:divBdr>
    </w:div>
    <w:div w:id="1677685898">
      <w:bodyDiv w:val="1"/>
      <w:marLeft w:val="0"/>
      <w:marRight w:val="0"/>
      <w:marTop w:val="0"/>
      <w:marBottom w:val="0"/>
      <w:divBdr>
        <w:top w:val="none" w:sz="0" w:space="0" w:color="auto"/>
        <w:left w:val="none" w:sz="0" w:space="0" w:color="auto"/>
        <w:bottom w:val="none" w:sz="0" w:space="0" w:color="auto"/>
        <w:right w:val="none" w:sz="0" w:space="0" w:color="auto"/>
      </w:divBdr>
    </w:div>
    <w:div w:id="1760907760">
      <w:bodyDiv w:val="1"/>
      <w:marLeft w:val="0"/>
      <w:marRight w:val="0"/>
      <w:marTop w:val="0"/>
      <w:marBottom w:val="0"/>
      <w:divBdr>
        <w:top w:val="none" w:sz="0" w:space="0" w:color="auto"/>
        <w:left w:val="none" w:sz="0" w:space="0" w:color="auto"/>
        <w:bottom w:val="none" w:sz="0" w:space="0" w:color="auto"/>
        <w:right w:val="none" w:sz="0" w:space="0" w:color="auto"/>
      </w:divBdr>
    </w:div>
    <w:div w:id="1891267110">
      <w:bodyDiv w:val="1"/>
      <w:marLeft w:val="0"/>
      <w:marRight w:val="0"/>
      <w:marTop w:val="0"/>
      <w:marBottom w:val="0"/>
      <w:divBdr>
        <w:top w:val="none" w:sz="0" w:space="0" w:color="auto"/>
        <w:left w:val="none" w:sz="0" w:space="0" w:color="auto"/>
        <w:bottom w:val="none" w:sz="0" w:space="0" w:color="auto"/>
        <w:right w:val="none" w:sz="0" w:space="0" w:color="auto"/>
      </w:divBdr>
    </w:div>
    <w:div w:id="1907301290">
      <w:bodyDiv w:val="1"/>
      <w:marLeft w:val="0"/>
      <w:marRight w:val="0"/>
      <w:marTop w:val="0"/>
      <w:marBottom w:val="0"/>
      <w:divBdr>
        <w:top w:val="none" w:sz="0" w:space="0" w:color="auto"/>
        <w:left w:val="none" w:sz="0" w:space="0" w:color="auto"/>
        <w:bottom w:val="none" w:sz="0" w:space="0" w:color="auto"/>
        <w:right w:val="none" w:sz="0" w:space="0" w:color="auto"/>
      </w:divBdr>
    </w:div>
    <w:div w:id="1919754793">
      <w:bodyDiv w:val="1"/>
      <w:marLeft w:val="0"/>
      <w:marRight w:val="0"/>
      <w:marTop w:val="0"/>
      <w:marBottom w:val="0"/>
      <w:divBdr>
        <w:top w:val="none" w:sz="0" w:space="0" w:color="auto"/>
        <w:left w:val="none" w:sz="0" w:space="0" w:color="auto"/>
        <w:bottom w:val="none" w:sz="0" w:space="0" w:color="auto"/>
        <w:right w:val="none" w:sz="0" w:space="0" w:color="auto"/>
      </w:divBdr>
    </w:div>
    <w:div w:id="2033267172">
      <w:bodyDiv w:val="1"/>
      <w:marLeft w:val="0"/>
      <w:marRight w:val="0"/>
      <w:marTop w:val="0"/>
      <w:marBottom w:val="0"/>
      <w:divBdr>
        <w:top w:val="none" w:sz="0" w:space="0" w:color="auto"/>
        <w:left w:val="none" w:sz="0" w:space="0" w:color="auto"/>
        <w:bottom w:val="none" w:sz="0" w:space="0" w:color="auto"/>
        <w:right w:val="none" w:sz="0" w:space="0" w:color="auto"/>
      </w:divBdr>
    </w:div>
    <w:div w:id="2035617923">
      <w:bodyDiv w:val="1"/>
      <w:marLeft w:val="0"/>
      <w:marRight w:val="0"/>
      <w:marTop w:val="0"/>
      <w:marBottom w:val="0"/>
      <w:divBdr>
        <w:top w:val="none" w:sz="0" w:space="0" w:color="auto"/>
        <w:left w:val="none" w:sz="0" w:space="0" w:color="auto"/>
        <w:bottom w:val="none" w:sz="0" w:space="0" w:color="auto"/>
        <w:right w:val="none" w:sz="0" w:space="0" w:color="auto"/>
      </w:divBdr>
    </w:div>
    <w:div w:id="2123106486">
      <w:bodyDiv w:val="1"/>
      <w:marLeft w:val="0"/>
      <w:marRight w:val="0"/>
      <w:marTop w:val="0"/>
      <w:marBottom w:val="0"/>
      <w:divBdr>
        <w:top w:val="none" w:sz="0" w:space="0" w:color="auto"/>
        <w:left w:val="none" w:sz="0" w:space="0" w:color="auto"/>
        <w:bottom w:val="none" w:sz="0" w:space="0" w:color="auto"/>
        <w:right w:val="none" w:sz="0" w:space="0" w:color="auto"/>
      </w:divBdr>
    </w:div>
    <w:div w:id="214731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RAD2@hud.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rad2@hud.gov" TargetMode="External"/><Relationship Id="rId17" Type="http://schemas.openxmlformats.org/officeDocument/2006/relationships/hyperlink" Target="http://www.hud.gov/rad" TargetMode="External"/><Relationship Id="rId2" Type="http://schemas.openxmlformats.org/officeDocument/2006/relationships/customXml" Target="../customXml/item2.xml"/><Relationship Id="rId16" Type="http://schemas.openxmlformats.org/officeDocument/2006/relationships/hyperlink" Target="http://www.radresource.net" TargetMode="External"/><Relationship Id="rId20" Type="http://schemas.openxmlformats.org/officeDocument/2006/relationships/hyperlink" Target="https://www.hud.gov/sites/documents/DOC_25517.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ederalregister.gov/select-citation/2017/01/18/24-CFR-5.403" TargetMode="External"/><Relationship Id="rId10" Type="http://schemas.openxmlformats.org/officeDocument/2006/relationships/footnotes" Target="footnotes.xml"/><Relationship Id="rId19" Type="http://schemas.openxmlformats.org/officeDocument/2006/relationships/hyperlink" Target="http://www.radresource.net/2c_library.cf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udexchange.info/resource/4216/environmental-review-requirements-for-rad-transactions/" TargetMode="External"/><Relationship Id="rId13" Type="http://schemas.openxmlformats.org/officeDocument/2006/relationships/hyperlink" Target="https://www.hudexchange.info/resource/3140/part-58-environmental-assessment-form/" TargetMode="External"/><Relationship Id="rId3" Type="http://schemas.openxmlformats.org/officeDocument/2006/relationships/hyperlink" Target="http://www1.eere.energy.gov/femp" TargetMode="External"/><Relationship Id="rId7" Type="http://schemas.openxmlformats.org/officeDocument/2006/relationships/hyperlink" Target="https://www.law.cornell.edu/definitions/uscode.php?width=840&amp;height=800&amp;iframe=true&amp;def_id=12-USC-1276302974-1510435013&amp;term_occur=11&amp;term_src=title:12:chapter:13:section:1701q" TargetMode="External"/><Relationship Id="rId12" Type="http://schemas.openxmlformats.org/officeDocument/2006/relationships/hyperlink" Target="https://www.hudexchange.info/resource/3139/part-58-environmental-review-cest-format/" TargetMode="External"/><Relationship Id="rId2" Type="http://schemas.openxmlformats.org/officeDocument/2006/relationships/hyperlink" Target="http://www.epa.gov/watersense/" TargetMode="External"/><Relationship Id="rId1" Type="http://schemas.openxmlformats.org/officeDocument/2006/relationships/hyperlink" Target="http://www.energystar.gov/" TargetMode="External"/><Relationship Id="rId6" Type="http://schemas.openxmlformats.org/officeDocument/2006/relationships/hyperlink" Target="https://www.law.cornell.edu/definitions/uscode.php?width=840&amp;height=800&amp;iframe=true&amp;def_id=12-USC-1276302974-1510435013&amp;term_occur=11&amp;term_src=title:12:chapter:13:section:1701q" TargetMode="External"/><Relationship Id="rId11" Type="http://schemas.openxmlformats.org/officeDocument/2006/relationships/hyperlink" Target="https://www.hudexchange.info/resource/5119/environmental-review-record-related-federal-laws-and-authorities-partner-worksheets/" TargetMode="External"/><Relationship Id="rId5" Type="http://schemas.openxmlformats.org/officeDocument/2006/relationships/hyperlink" Target="file://HLANNFP019/users1/H0/H56050/TRA/Notice/Revision%202/%3ehttp:/www.hud.gov/rad%3c" TargetMode="External"/><Relationship Id="rId10" Type="http://schemas.openxmlformats.org/officeDocument/2006/relationships/hyperlink" Target="http://portal.hud.gov/hudportal/HUD?src=/program_offices/administration/hudclips/guidebooks/hsg-GB4430" TargetMode="External"/><Relationship Id="rId4" Type="http://schemas.openxmlformats.org/officeDocument/2006/relationships/hyperlink" Target="http://www.hud.gov/rad" TargetMode="External"/><Relationship Id="rId9" Type="http://schemas.openxmlformats.org/officeDocument/2006/relationships/hyperlink" Target="https://www.hudexchange.info/environmental-review/" TargetMode="External"/><Relationship Id="rId14" Type="http://schemas.openxmlformats.org/officeDocument/2006/relationships/hyperlink" Target="https://www.hudexchange.info/resource/2338/hud-form-701515-request-release-funds-cer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learance xmlns="85afbc03-4ac1-4918-9c7b-f49c0d7d3946">1772</Clearance>
    <test xmlns="85afbc03-4ac1-4918-9c7b-f49c0d7d3946">Office of General Counsel (OGC)</test>
    <_dlc_DocId xmlns="f7708968-ed3a-4bc5-a409-51c06323f3fd">HUDOGCAPPS-653078659-7140</_dlc_DocId>
    <_dlc_DocIdUrl xmlns="f7708968-ed3a-4bc5-a409-51c06323f3fd">
      <Url>http://sharepoint.hud.gov/sites/ogcapps/OGCInternalClearances/_layouts/15/DocIdRedir.aspx?ID=HUDOGCAPPS-653078659-7140</Url>
      <Description>HUDOGCAPPS-653078659-7140</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28C676944181C14297B72A0EDE40D3C1" ma:contentTypeVersion="24" ma:contentTypeDescription="Create a new document." ma:contentTypeScope="" ma:versionID="ae22ceb3598c32bf63677873bf209aed">
  <xsd:schema xmlns:xsd="http://www.w3.org/2001/XMLSchema" xmlns:xs="http://www.w3.org/2001/XMLSchema" xmlns:p="http://schemas.microsoft.com/office/2006/metadata/properties" xmlns:ns2="f7708968-ed3a-4bc5-a409-51c06323f3fd" xmlns:ns3="85afbc03-4ac1-4918-9c7b-f49c0d7d3946" xmlns:ns4="b962d8a2-d8bd-4276-916d-cff5b68943bf" targetNamespace="http://schemas.microsoft.com/office/2006/metadata/properties" ma:root="true" ma:fieldsID="e94effdf59243d81569176eeb060b2f7" ns2:_="" ns3:_="" ns4:_="">
    <xsd:import namespace="f7708968-ed3a-4bc5-a409-51c06323f3fd"/>
    <xsd:import namespace="85afbc03-4ac1-4918-9c7b-f49c0d7d3946"/>
    <xsd:import namespace="b962d8a2-d8bd-4276-916d-cff5b68943bf"/>
    <xsd:element name="properties">
      <xsd:complexType>
        <xsd:sequence>
          <xsd:element name="documentManagement">
            <xsd:complexType>
              <xsd:all>
                <xsd:element ref="ns2:_dlc_DocId" minOccurs="0"/>
                <xsd:element ref="ns2:_dlc_DocIdUrl" minOccurs="0"/>
                <xsd:element ref="ns2:_dlc_DocIdPersistId" minOccurs="0"/>
                <xsd:element ref="ns3:Clearance"/>
                <xsd:element ref="ns3:Clearance_x003a_Clearance_x0020_Title" minOccurs="0"/>
                <xsd:element ref="ns3:Clearance_x003a_Clearance_x0020_Number" minOccurs="0"/>
                <xsd:element ref="ns3:Clearance_x003a_ID" minOccurs="0"/>
                <xsd:element ref="ns3:test"/>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08968-ed3a-4bc5-a409-51c06323f3f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afbc03-4ac1-4918-9c7b-f49c0d7d3946" elementFormDefault="qualified">
    <xsd:import namespace="http://schemas.microsoft.com/office/2006/documentManagement/types"/>
    <xsd:import namespace="http://schemas.microsoft.com/office/infopath/2007/PartnerControls"/>
    <xsd:element name="Clearance" ma:index="7" ma:displayName="Clearance" ma:list="{d8b10af3-6ed2-44d4-82ca-9844ee3a7cdb}" ma:internalName="Clearance" ma:readOnly="false" ma:showField="Title">
      <xsd:simpleType>
        <xsd:restriction base="dms:Lookup"/>
      </xsd:simpleType>
    </xsd:element>
    <xsd:element name="Clearance_x003a_Clearance_x0020_Title" ma:index="8" nillable="true" ma:displayName="Clearance:Clearance Name" ma:list="{d8b10af3-6ed2-44d4-82ca-9844ee3a7cdb}" ma:internalName="Clearance_x003a_Clearance_x0020_Title" ma:readOnly="true" ma:showField="Title" ma:web="b962d8a2-d8bd-4276-916d-cff5b68943bf">
      <xsd:simpleType>
        <xsd:restriction base="dms:Lookup"/>
      </xsd:simpleType>
    </xsd:element>
    <xsd:element name="Clearance_x003a_Clearance_x0020_Number" ma:index="9" nillable="true" ma:displayName="Clearance:Clearance Number" ma:list="{d8b10af3-6ed2-44d4-82ca-9844ee3a7cdb}" ma:internalName="Clearance_x003a_Clearance_x0020_Number" ma:readOnly="true" ma:showField="Clearance_x0020_Number0" ma:web="b962d8a2-d8bd-4276-916d-cff5b68943bf">
      <xsd:simpleType>
        <xsd:restriction base="dms:Lookup"/>
      </xsd:simpleType>
    </xsd:element>
    <xsd:element name="Clearance_x003a_ID" ma:index="10" nillable="true" ma:displayName="Clearance:ID" ma:list="{d8b10af3-6ed2-44d4-82ca-9844ee3a7cdb}" ma:internalName="Clearance_x003a_ID" ma:readOnly="true" ma:showField="ID" ma:web="b962d8a2-d8bd-4276-916d-cff5b68943bf">
      <xsd:simpleType>
        <xsd:restriction base="dms:Lookup"/>
      </xsd:simpleType>
    </xsd:element>
    <xsd:element name="test" ma:index="11" ma:displayName="Originating HUD Office" ma:format="Dropdown" ma:internalName="test">
      <xsd:simpleType>
        <xsd:restriction base="dms:Choice">
          <xsd:enumeration value="Chief Financial Officer (CFO)"/>
          <xsd:enumeration value="Chief Information Officer (CIO)"/>
          <xsd:enumeration value="Chief Procurement Office (CPO)"/>
          <xsd:enumeration value="Community Planning and Development (CPD)"/>
          <xsd:enumeration value="Congressional and Inter-governmental Relations (CIR)"/>
          <xsd:enumeration value="Departmental Equal Employment Opportunity"/>
          <xsd:enumeration value="Departmental Operations and Coordination"/>
          <xsd:enumeration value="Fair Housing and Equal Opportunity (FHEO)"/>
          <xsd:enumeration value="Faith-Based &amp; Community Initiatives (FBCI)"/>
          <xsd:enumeration value="Field Policy and Management (FPM)"/>
          <xsd:enumeration value="Government National Mortgage Association (GNMA)"/>
          <xsd:enumeration value="Grants Management and Oversight Division of OSPM"/>
          <xsd:enumeration value="Hearing and Appeals"/>
          <xsd:enumeration value="Housing (HSG)"/>
          <xsd:enumeration value="Office of Administration (OA)"/>
          <xsd:enumeration value="Office of Disaster &amp; National Security"/>
          <xsd:enumeration value="Office of Economic Analysis (OEA)"/>
          <xsd:enumeration value="Office of General Counsel (OGC)"/>
          <xsd:enumeration value="Office of Healthy Homes and Lead Hazard Control (OHHLHC)"/>
          <xsd:enumeration value="Office of Inspector General (OIG)"/>
          <xsd:enumeration value="Office of Small and Disadvantaged Business Utilization (OSDBU)"/>
          <xsd:enumeration value="Office of Strategic Planning and Management"/>
          <xsd:enumeration value="Office of Sustainable Housing and Communities"/>
          <xsd:enumeration value="Office of the Chief Human Capital Officer (OCHCO)"/>
          <xsd:enumeration value="Office of the Chief Operating Officer (COO)"/>
          <xsd:enumeration value="Office of the Deputy Secretary"/>
          <xsd:enumeration value="Office of the Executive Secretariat"/>
          <xsd:enumeration value="Office of the Secretary"/>
          <xsd:enumeration value="Policy Development and Research (PD&amp;R)"/>
          <xsd:enumeration value="Public Affairs"/>
          <xsd:enumeration value="Public and Indian Housing (PIH)"/>
        </xsd:restriction>
      </xsd:simpleType>
    </xsd:element>
  </xsd:schema>
  <xsd:schema xmlns:xsd="http://www.w3.org/2001/XMLSchema" xmlns:xs="http://www.w3.org/2001/XMLSchema" xmlns:dms="http://schemas.microsoft.com/office/2006/documentManagement/types" xmlns:pc="http://schemas.microsoft.com/office/infopath/2007/PartnerControls" targetNamespace="b962d8a2-d8bd-4276-916d-cff5b68943bf"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F59AB-2FCB-4F8E-B792-9C33CE61BBB6}">
  <ds:schemaRefs>
    <ds:schemaRef ds:uri="http://schemas.microsoft.com/sharepoint/events"/>
  </ds:schemaRefs>
</ds:datastoreItem>
</file>

<file path=customXml/itemProps2.xml><?xml version="1.0" encoding="utf-8"?>
<ds:datastoreItem xmlns:ds="http://schemas.openxmlformats.org/officeDocument/2006/customXml" ds:itemID="{2AA69EB9-9C11-4573-BF60-BC3DC4DF3355}">
  <ds:schemaRefs>
    <ds:schemaRef ds:uri="http://purl.org/dc/elements/1.1/"/>
    <ds:schemaRef ds:uri="http://schemas.microsoft.com/office/2006/metadata/properties"/>
    <ds:schemaRef ds:uri="b962d8a2-d8bd-4276-916d-cff5b68943bf"/>
    <ds:schemaRef ds:uri="http://schemas.microsoft.com/office/2006/documentManagement/types"/>
    <ds:schemaRef ds:uri="http://purl.org/dc/dcmitype/"/>
    <ds:schemaRef ds:uri="f7708968-ed3a-4bc5-a409-51c06323f3fd"/>
    <ds:schemaRef ds:uri="http://schemas.openxmlformats.org/package/2006/metadata/core-properties"/>
    <ds:schemaRef ds:uri="http://schemas.microsoft.com/office/infopath/2007/PartnerControls"/>
    <ds:schemaRef ds:uri="85afbc03-4ac1-4918-9c7b-f49c0d7d3946"/>
    <ds:schemaRef ds:uri="http://www.w3.org/XML/1998/namespace"/>
    <ds:schemaRef ds:uri="http://purl.org/dc/terms/"/>
  </ds:schemaRefs>
</ds:datastoreItem>
</file>

<file path=customXml/itemProps3.xml><?xml version="1.0" encoding="utf-8"?>
<ds:datastoreItem xmlns:ds="http://schemas.openxmlformats.org/officeDocument/2006/customXml" ds:itemID="{C64A8F05-AEF7-4514-881C-646E390EEE49}">
  <ds:schemaRefs>
    <ds:schemaRef ds:uri="http://schemas.microsoft.com/sharepoint/v3/contenttype/forms"/>
  </ds:schemaRefs>
</ds:datastoreItem>
</file>

<file path=customXml/itemProps4.xml><?xml version="1.0" encoding="utf-8"?>
<ds:datastoreItem xmlns:ds="http://schemas.openxmlformats.org/officeDocument/2006/customXml" ds:itemID="{34523A7D-666A-47B0-BC06-14CF0CB36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08968-ed3a-4bc5-a409-51c06323f3fd"/>
    <ds:schemaRef ds:uri="85afbc03-4ac1-4918-9c7b-f49c0d7d3946"/>
    <ds:schemaRef ds:uri="b962d8a2-d8bd-4276-916d-cff5b6894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397E62-EE76-449D-94F6-48578E54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13542</Words>
  <Characters>77195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Stacy L</dc:creator>
  <cp:keywords/>
  <dc:description/>
  <cp:lastModifiedBy>Juliana Bilowich</cp:lastModifiedBy>
  <cp:revision>2</cp:revision>
  <cp:lastPrinted>2018-10-10T14:48:00Z</cp:lastPrinted>
  <dcterms:created xsi:type="dcterms:W3CDTF">2019-02-26T21:09:00Z</dcterms:created>
  <dcterms:modified xsi:type="dcterms:W3CDTF">2019-02-26T21:09:00Z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0x01010028C676944181C14297B72A0EDE40D3C1</vt:lpwstr>
  </property>
  <property fmtid="{D5CDD505-2E9C-101B-9397-08002B2CF9AE}" pid="3" name="_dlc_DocIdItemGuid">
    <vt:lpwstr>3b6953b6-eaae-4fd6-a807-f1afdf891d74</vt:lpwstr>
  </property>
</Properties>
</file>